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OLE_LINK26"/>
      <w:r>
        <w:rPr>
          <w:rFonts w:ascii="Arial" w:hAnsi="Arial" w:cs="Arial"/>
          <w:b/>
          <w:bCs/>
          <w:sz w:val="28"/>
        </w:rPr>
        <w:t>3GPP TSG RAN WG1 #10</w:t>
      </w:r>
      <w:r>
        <w:rPr>
          <w:rFonts w:hint="eastAsia" w:ascii="Arial" w:hAnsi="Arial" w:cs="Arial"/>
          <w:b/>
          <w:bCs/>
          <w:sz w:val="28"/>
          <w:lang w:val="en-US" w:eastAsia="zh-CN"/>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w:t>
      </w:r>
      <w:r>
        <w:rPr>
          <w:rFonts w:hint="eastAsia" w:ascii="Arial" w:hAnsi="Arial" w:cs="Arial"/>
          <w:b/>
          <w:bCs/>
          <w:sz w:val="28"/>
          <w:lang w:val="en-US" w:eastAsia="zh-CN"/>
        </w:rPr>
        <w:t>11442</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cs="Arial"/>
          <w:b/>
          <w:bCs/>
          <w:sz w:val="28"/>
          <w:lang w:val="en-US" w:eastAsia="zh-CN"/>
        </w:rPr>
        <w:t xml:space="preserve">November </w:t>
      </w:r>
      <w:r>
        <w:rPr>
          <w:rFonts w:ascii="Arial" w:hAnsi="Arial" w:eastAsia="MS Mincho" w:cs="Arial"/>
          <w:b/>
          <w:bCs/>
          <w:sz w:val="28"/>
          <w:lang w:eastAsia="ja-JP"/>
        </w:rPr>
        <w:t>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8.4.2</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ind w:left="1988" w:hanging="1988" w:hangingChars="900"/>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lang w:val="en-US" w:eastAsia="zh-CN"/>
        </w:rPr>
        <w:t>Discussion o</w:t>
      </w:r>
      <w:r>
        <w:rPr>
          <w:rFonts w:hint="eastAsia" w:ascii="Arial" w:hAnsi="Arial"/>
          <w:b/>
          <w:sz w:val="22"/>
          <w:szCs w:val="20"/>
        </w:rPr>
        <w:t>n UL time and frequency synchronization enhancement</w:t>
      </w:r>
      <w:r>
        <w:rPr>
          <w:rFonts w:hint="eastAsia" w:ascii="Arial" w:hAnsi="Arial"/>
          <w:b/>
          <w:sz w:val="22"/>
          <w:szCs w:val="20"/>
          <w:lang w:val="en-US" w:eastAsia="zh-CN"/>
        </w:rPr>
        <w:t xml:space="preserve"> 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pPr>
      <w:bookmarkStart w:id="3" w:name="_Ref129681862"/>
      <w:bookmarkStart w:id="4" w:name="_Ref124589705"/>
      <w:r>
        <w:t>Introduction</w:t>
      </w:r>
      <w:bookmarkEnd w:id="3"/>
      <w:bookmarkEnd w:id="4"/>
    </w:p>
    <w:p>
      <w:pPr>
        <w:rPr>
          <w:lang w:eastAsia="zh-CN"/>
        </w:rPr>
      </w:pPr>
      <w:bookmarkStart w:id="5" w:name="OLE_LINK16"/>
      <w:r>
        <w:rPr>
          <w:kern w:val="2"/>
          <w:highlight w:val="none"/>
          <w:lang w:eastAsia="zh-CN"/>
        </w:rPr>
        <w:t xml:space="preserve">In </w:t>
      </w:r>
      <w:r>
        <w:rPr>
          <w:rFonts w:hint="eastAsia"/>
          <w:kern w:val="2"/>
          <w:highlight w:val="none"/>
          <w:lang w:eastAsia="zh-CN"/>
        </w:rPr>
        <w:t>RAN1#10</w:t>
      </w:r>
      <w:r>
        <w:rPr>
          <w:rFonts w:hint="eastAsia"/>
          <w:kern w:val="2"/>
          <w:highlight w:val="none"/>
          <w:lang w:val="en-US" w:eastAsia="zh-CN"/>
        </w:rPr>
        <w:t>6bis</w:t>
      </w:r>
      <w:r>
        <w:rPr>
          <w:rFonts w:hint="eastAsia"/>
          <w:kern w:val="2"/>
          <w:highlight w:val="none"/>
          <w:lang w:eastAsia="zh-CN"/>
        </w:rPr>
        <w:t xml:space="preserve">-e, the following agreements and conclusion </w:t>
      </w:r>
      <w:r>
        <w:rPr>
          <w:kern w:val="2"/>
          <w:highlight w:val="none"/>
          <w:lang w:eastAsia="zh-CN"/>
        </w:rPr>
        <w:t xml:space="preserve">were </w:t>
      </w:r>
      <w:r>
        <w:rPr>
          <w:rFonts w:hint="eastAsia"/>
          <w:kern w:val="2"/>
          <w:highlight w:val="none"/>
          <w:lang w:eastAsia="zh-CN"/>
        </w:rPr>
        <w:t xml:space="preserve">achieved </w:t>
      </w:r>
      <w:r>
        <w:rPr>
          <w:highlight w:val="none"/>
          <w:lang w:eastAsia="zh-CN"/>
        </w:rPr>
        <w:t xml:space="preserve">to enhance </w:t>
      </w:r>
      <w:r>
        <w:rPr>
          <w:rFonts w:hint="eastAsia"/>
          <w:highlight w:val="none"/>
          <w:lang w:eastAsia="zh-CN"/>
        </w:rPr>
        <w:t>UL</w:t>
      </w:r>
      <w:r>
        <w:rPr>
          <w:highlight w:val="none"/>
          <w:lang w:eastAsia="zh-CN"/>
        </w:rPr>
        <w:t xml:space="preserve"> tim</w:t>
      </w:r>
      <w:r>
        <w:rPr>
          <w:rFonts w:hint="eastAsia"/>
          <w:highlight w:val="none"/>
          <w:lang w:eastAsia="zh-CN"/>
        </w:rPr>
        <w:t>e</w:t>
      </w:r>
      <w:r>
        <w:rPr>
          <w:highlight w:val="none"/>
          <w:lang w:eastAsia="zh-CN"/>
        </w:rPr>
        <w:t xml:space="preserve"> and </w:t>
      </w:r>
      <w:r>
        <w:rPr>
          <w:lang w:eastAsia="zh-CN"/>
        </w:rPr>
        <w:t>frequency synchronization for NTN [</w:t>
      </w:r>
      <w:r>
        <w:rPr>
          <w:rFonts w:hint="eastAsia"/>
          <w:lang w:eastAsia="zh-CN"/>
        </w:rPr>
        <w:t>1]</w:t>
      </w:r>
    </w:p>
    <w:tbl>
      <w:tblPr>
        <w:tblStyle w:val="30"/>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5" w:hRule="atLeast"/>
        </w:trPr>
        <w:tc>
          <w:tcPr>
            <w:tcW w:w="9638" w:type="dxa"/>
          </w:tcPr>
          <w:p>
            <w:pPr>
              <w:widowControl w:val="0"/>
            </w:pPr>
          </w:p>
          <w:p>
            <w:pPr>
              <w:widowControl w:val="0"/>
              <w:rPr>
                <w:lang w:val="en-US"/>
              </w:rPr>
            </w:pPr>
            <w:r>
              <w:rPr>
                <w:highlight w:val="green"/>
                <w:lang w:val="en-US"/>
              </w:rPr>
              <w:t>Agreement:</w:t>
            </w:r>
          </w:p>
          <w:p>
            <w:pPr>
              <w:widowControl w:val="0"/>
              <w:rPr>
                <w:lang w:val="en-US"/>
              </w:rPr>
            </w:pPr>
            <w:r>
              <w:rPr>
                <w:lang w:val="en-US"/>
              </w:rPr>
              <w:t>Confirm the working assumption:</w:t>
            </w:r>
          </w:p>
          <w:p>
            <w:pPr>
              <w:widowControl w:val="0"/>
              <w:rPr>
                <w:lang w:val="en-US"/>
              </w:rPr>
            </w:pPr>
            <w:r>
              <w:rPr>
                <w:lang w:val="en-US"/>
              </w:rPr>
              <w:t>Common TA may include parameter(s) indicating timing drift.</w:t>
            </w:r>
          </w:p>
          <w:p>
            <w:pPr>
              <w:widowControl w:val="0"/>
              <w:numPr>
                <w:ilvl w:val="0"/>
                <w:numId w:val="4"/>
              </w:numPr>
              <w:rPr>
                <w:lang w:val="en-US"/>
              </w:rPr>
            </w:pPr>
            <w:r>
              <w:rPr>
                <w:lang w:val="en-US"/>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pPr>
              <w:widowControl w:val="0"/>
              <w:rPr>
                <w:lang w:val="en-US"/>
              </w:rPr>
            </w:pPr>
            <w:r>
              <w:rPr>
                <w:lang w:val="en-US"/>
              </w:rPr>
              <w:t> </w:t>
            </w:r>
          </w:p>
          <w:p>
            <w:pPr>
              <w:widowControl w:val="0"/>
              <w:rPr>
                <w:lang w:val="en-US"/>
              </w:rPr>
            </w:pPr>
            <w:r>
              <w:rPr>
                <w:highlight w:val="green"/>
                <w:lang w:val="en-US"/>
              </w:rPr>
              <w:t>Agreement:</w:t>
            </w:r>
          </w:p>
          <w:p>
            <w:pPr>
              <w:widowControl w:val="0"/>
              <w:rPr>
                <w:lang w:val="en-US"/>
              </w:rPr>
            </w:pPr>
            <w:r>
              <w:rPr>
                <w:lang w:val="en-US"/>
              </w:rPr>
              <w:t>Common TA Epoch time is implicitly known as a reference time defined by the starting time of a DL slot and/or frame.</w:t>
            </w:r>
          </w:p>
          <w:p>
            <w:pPr>
              <w:widowControl w:val="0"/>
              <w:numPr>
                <w:ilvl w:val="0"/>
                <w:numId w:val="5"/>
              </w:numPr>
              <w:rPr>
                <w:lang w:val="en-US"/>
              </w:rPr>
            </w:pPr>
            <w:r>
              <w:rPr>
                <w:lang w:val="en-US"/>
              </w:rPr>
              <w:t>FFS: Whether this starting time is given by predefined rule or it is indicated by the Network</w:t>
            </w:r>
          </w:p>
          <w:p>
            <w:pPr>
              <w:widowControl w:val="0"/>
              <w:numPr>
                <w:ilvl w:val="1"/>
                <w:numId w:val="6"/>
              </w:numPr>
              <w:rPr>
                <w:lang w:val="en-US"/>
              </w:rPr>
            </w:pPr>
            <w:r>
              <w:rPr>
                <w:lang w:val="en-US"/>
              </w:rPr>
              <w:t>Note: “implicitly known” means that UTC is not provided to define the Common TA epoch time.</w:t>
            </w:r>
          </w:p>
          <w:p>
            <w:pPr>
              <w:widowControl w:val="0"/>
              <w:rPr>
                <w:lang w:val="en-US"/>
              </w:rPr>
            </w:pPr>
          </w:p>
          <w:p>
            <w:pPr>
              <w:widowControl w:val="0"/>
              <w:rPr>
                <w:lang w:val="en-US"/>
              </w:rPr>
            </w:pPr>
            <w:r>
              <w:rPr>
                <w:highlight w:val="green"/>
                <w:lang w:val="en-US"/>
              </w:rPr>
              <w:t>Agreement:</w:t>
            </w:r>
          </w:p>
          <w:p>
            <w:pPr>
              <w:widowControl w:val="0"/>
              <w:rPr>
                <w:lang w:val="en-US"/>
              </w:rPr>
            </w:pPr>
            <w:r>
              <w:rPr>
                <w:lang w:val="en-US"/>
              </w:rPr>
              <w:t>The UE assumes that it has lost uplink synchronization if new or additional assistance information (i.e. serving satellite ephemeris data or Common TA parameters) is not available within the associated validity duration.</w:t>
            </w:r>
          </w:p>
          <w:p>
            <w:pPr>
              <w:widowControl w:val="0"/>
              <w:numPr>
                <w:ilvl w:val="0"/>
                <w:numId w:val="7"/>
              </w:numPr>
              <w:rPr>
                <w:lang w:val="en-US"/>
              </w:rPr>
            </w:pPr>
            <w:r>
              <w:rPr>
                <w:lang w:val="en-US"/>
              </w:rPr>
              <w:t>FFS: details on how to acquire new or additional assistance information</w:t>
            </w:r>
          </w:p>
          <w:p>
            <w:pPr>
              <w:widowControl w:val="0"/>
              <w:rPr>
                <w:lang w:val="en-US"/>
              </w:rPr>
            </w:pPr>
          </w:p>
          <w:p>
            <w:pPr>
              <w:widowControl w:val="0"/>
              <w:rPr>
                <w:lang w:val="en-US"/>
              </w:rPr>
            </w:pPr>
            <w:r>
              <w:rPr>
                <w:highlight w:val="green"/>
                <w:lang w:val="en-US"/>
              </w:rPr>
              <w:t>Agreement:</w:t>
            </w:r>
          </w:p>
          <w:p>
            <w:pPr>
              <w:widowControl w:val="0"/>
              <w:rPr>
                <w:lang w:val="en-US"/>
              </w:rPr>
            </w:pPr>
            <w:r>
              <w:rPr>
                <w:lang w:val="en-US"/>
              </w:rPr>
              <w:t>NTN ephemeris validity timer should be started/restarted with configured timer validity duration at the epoch time of the assistance information (i.e. serving satellite ephemeris data)</w:t>
            </w:r>
          </w:p>
          <w:p>
            <w:pPr>
              <w:widowControl w:val="0"/>
              <w:rPr>
                <w:lang w:val="en-US"/>
              </w:rPr>
            </w:pPr>
          </w:p>
          <w:p>
            <w:pPr>
              <w:widowControl w:val="0"/>
              <w:rPr>
                <w:lang w:val="en-US"/>
              </w:rPr>
            </w:pPr>
            <w:r>
              <w:rPr>
                <w:highlight w:val="green"/>
                <w:lang w:val="en-US"/>
              </w:rPr>
              <w:t>Agreement:</w:t>
            </w:r>
          </w:p>
          <w:p>
            <w:pPr>
              <w:widowControl w:val="0"/>
              <w:rPr>
                <w:lang w:val="en-US"/>
              </w:rPr>
            </w:pPr>
            <w:r>
              <w:rPr>
                <w:lang w:val="en-US"/>
              </w:rPr>
              <w:t xml:space="preserve">A single validity duration for both serving satellite ephemeris and common TA related parameters is defined at least if serving satellite ephemeris and common TA related parameters are signaled in the same SIB message. </w:t>
            </w:r>
          </w:p>
          <w:p>
            <w:pPr>
              <w:widowControl w:val="0"/>
            </w:pPr>
          </w:p>
          <w:p>
            <w:pPr>
              <w:widowControl w:val="0"/>
            </w:pPr>
            <w:r>
              <w:rPr>
                <w:highlight w:val="green"/>
              </w:rPr>
              <w:t>Agreement:</w:t>
            </w:r>
          </w:p>
          <w:p>
            <w:pPr>
              <w:widowControl w:val="0"/>
              <w:rPr>
                <w:lang w:val="en-US"/>
              </w:rPr>
            </w:pPr>
            <w:r>
              <w:rPr>
                <w:lang w:val="en-US"/>
              </w:rPr>
              <w:t>In NTN, the Network may optionally indicate one or more of the following parameters:</w:t>
            </w:r>
          </w:p>
          <w:p>
            <w:pPr>
              <w:pStyle w:val="41"/>
              <w:widowControl w:val="0"/>
              <w:numPr>
                <w:ilvl w:val="0"/>
                <w:numId w:val="8"/>
              </w:numPr>
              <w:spacing w:after="100" w:afterAutospacing="1"/>
              <w:ind w:leftChars="0"/>
              <w:rPr>
                <w:rFonts w:ascii="Times New Roman" w:hAnsi="Times New Roman"/>
                <w:szCs w:val="20"/>
              </w:rPr>
            </w:pPr>
            <w:r>
              <w:rPr>
                <w:rFonts w:ascii="Times New Roman" w:hAnsi="Times New Roman"/>
              </w:rPr>
              <w:t>Common TA , Common TA drift rate and Common TA drift rate variation.</w:t>
            </w:r>
          </w:p>
          <w:p>
            <w:pPr>
              <w:pStyle w:val="41"/>
              <w:widowControl w:val="0"/>
              <w:numPr>
                <w:ilvl w:val="0"/>
                <w:numId w:val="8"/>
              </w:numPr>
              <w:spacing w:before="100" w:beforeAutospacing="1" w:after="100" w:afterAutospacing="1"/>
              <w:ind w:leftChars="0"/>
              <w:rPr>
                <w:rFonts w:ascii="Times New Roman" w:hAnsi="Times New Roman"/>
                <w:lang w:val="en-US"/>
              </w:rPr>
            </w:pPr>
            <w:r>
              <w:rPr>
                <w:rFonts w:ascii="Times New Roman" w:hAnsi="Times New Roman"/>
              </w:rPr>
              <w:t>FFS: Common TA third order derivative.</w:t>
            </w:r>
          </w:p>
          <w:p>
            <w:pPr>
              <w:pStyle w:val="41"/>
              <w:widowControl w:val="0"/>
              <w:numPr>
                <w:ilvl w:val="0"/>
                <w:numId w:val="8"/>
              </w:numPr>
              <w:spacing w:before="100" w:beforeAutospacing="1" w:after="100" w:afterAutospacing="1"/>
              <w:ind w:leftChars="0"/>
              <w:rPr>
                <w:rFonts w:ascii="Times New Roman" w:hAnsi="Times New Roman"/>
                <w:color w:val="000000"/>
                <w:lang w:val="en-US"/>
              </w:rPr>
            </w:pPr>
            <w:r>
              <w:rPr>
                <w:rFonts w:ascii="Times New Roman" w:hAnsi="Times New Roman"/>
                <w:color w:val="000000"/>
                <w:lang w:val="en-US"/>
              </w:rPr>
              <w:t>FFS: Details of combination of Common TA parameters</w:t>
            </w:r>
          </w:p>
          <w:p>
            <w:pPr>
              <w:widowControl w:val="0"/>
            </w:pPr>
            <w:r>
              <w:rPr>
                <w:highlight w:val="green"/>
              </w:rPr>
              <w:t>Agreement:</w:t>
            </w:r>
          </w:p>
          <w:p>
            <w:pPr>
              <w:pStyle w:val="41"/>
              <w:widowControl w:val="0"/>
              <w:numPr>
                <w:ilvl w:val="0"/>
                <w:numId w:val="8"/>
              </w:numPr>
              <w:ind w:leftChars="0"/>
              <w:rPr>
                <w:rFonts w:ascii="Times New Roman" w:hAnsi="Times New Roman"/>
                <w:szCs w:val="20"/>
              </w:rPr>
            </w:pPr>
            <w:r>
              <w:rPr>
                <w:rFonts w:ascii="Times New Roman" w:hAnsi="Times New Roman"/>
                <w:szCs w:val="20"/>
              </w:rPr>
              <w:t xml:space="preserve">The granularity of Common TA is set to be </w:t>
            </w:r>
            <w:r>
              <w:rPr>
                <w:rFonts w:ascii="Times New Roman" w:hAnsi="Times New Roman"/>
                <w:szCs w:val="20"/>
              </w:rPr>
              <w:fldChar w:fldCharType="begin"/>
            </w:r>
            <w:r>
              <w:rPr>
                <w:rFonts w:ascii="Times New Roman" w:hAnsi="Times New Roman"/>
                <w:szCs w:val="20"/>
              </w:rPr>
              <w:instrText xml:space="preserve"> QUOTE </w:instrText>
            </w:r>
            <w:r>
              <w:rPr>
                <w:position w:val="-5"/>
              </w:rPr>
              <w:pict>
                <v:shape id="_x0000_i1025" o:spt="75" type="#_x0000_t75" style="height:12pt;width:44.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30906&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508D9&quot;/&gt;&lt;wsp:rsid wsp:val=&quot;00F52B54&quot;/&gt;&lt;wsp:rsid wsp:val=&quot;00F56B1E&quot;/&gt;&lt;wsp:rsid wsp:val=&quot;00F673CB&quot;/&gt;&lt;wsp:rsid wsp:val=&quot;00F724AE&quot;/&gt;&lt;wsp:rsid wsp:val=&quot;00F7565D&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B30906&quot; wsp:rsidP=&quot;00B30906&quot;&gt;&lt;m:oMathPara&gt;&lt;m:oMath&gt;&lt;m:f&gt;&lt;m:fPr&gt;&lt;m:type m:val=&quot;lin&quot;/&gt;&lt;m:ctrlPr&gt;&lt;w:rPr&gt;&lt;w:rFonts w:ascii=&quot;Cambria Math&quot; w:fareast=&quot;Gulim&quot; w:h-ansi=&quot;Cambria Math&quot;/&gt;&lt;wx:font wx:val=&quot;Cambria Math&quot;/&gt;&lt;w:b/&gt;&lt;w:b-cs/&gt;&lt;w:lang w:fareast=&quot;KO&quot;/&gt;&lt;/w:rPr&gt;&lt;/m:ctrlPr&gt;&lt;/m:fPr&gt;&lt;m:num&gt;&lt;m:r&gt;&lt;m:rPr&gt;&lt;m:sty m:val=&quot;b&quot;/&gt;&lt;/m:rPr&gt;&lt;w:rPr&gt;&lt;w:rFonts w:ascii=&quot;Cambria Math&quot; w:h-ansi=&quot;Cambria Math&quot;/&gt;&lt;wx:font wx:val=&quot;Cambria Math&quot;/&gt;&lt;w:b/&gt;&lt;w:sz-cs w:val=&quot;20&quot;/&gt;&lt;/w:rPr&gt;&lt;m:t&gt;64&lt;/m:t&gt;&lt;/m:r&gt;&lt;/m:num&gt;&lt;m:den&gt;&lt;m:sSup&gt;&lt;m:sSupPr&gt;&lt;m:ctrlPr&gt;&lt;w:rPr&gt;&lt;w:rFonts w:ascii=&quot;Cambria Math&quot; w:fareast=&quot;Gulim&quot; w:h-ansi=&quot;Cambria Math&quot;/&gt;&lt;wx:font wx:val=&quot;Cambria Math&quot;/&gt;&lt;w:b/&gt;&lt;w:b-cs/&gt;&lt;w:lang w:fareast=&quot;KO&quot;/&gt;&lt;/w:rPr&gt;&lt;/m:ctrlPr&gt;&lt;/m:sSupPr&gt;&lt;m:e&gt;&lt;m:r&gt;&lt;m:rPr&gt;&lt;m:sty m:val=&quot;b&quot;/&gt;&lt;/m:rPr&gt;&lt;w:rPr&gt;&lt;w:rFonts w:ascii=&quot;Cambria Math&quot; w:h-ansi=&quot;Cambria Math&quot;/&gt;&lt;wx:font wx:val=&quot;Cambria Math&quot;/&gt;&lt;w:b/&gt;&lt;w:sz-cs w:val=&quot;20&quot;/&gt;&lt;/w:rPr&gt;&lt;m:t&gt;2&lt;/m:t&gt;&lt;/m:r&gt;&lt;/m:e&gt;&lt;m:sup&gt;&lt;m:r&gt;&lt;m:rPr&gt;&lt;m:sty m:val=&quot;b&quot;/&gt;&lt;/m:rPr&gt;&lt;w:rPr&gt;&lt;w:rFonts w:ascii=&quot;Cambria Math&quot; w:h-ansi=&quot;Cambria Math&quot;/&gt;&lt;wx:font wx:val=&quot;Cambria Math&quot;/&gt;&lt;w:b/&gt;&lt;w:sz-cs w:val=&quot;20&quot;/&gt;&lt;/w:rPr&gt;&lt;m:t&gt;μ&lt;/m:t&gt;&lt;/m:r&gt;&lt;/m:sup&gt;&lt;/m:sSup&gt;&lt;/m:den&gt;&lt;/m:f&gt;&lt;m:r&gt;&lt;m:rPr&gt;&lt;m:sty m:val=&quot;b&quot;/&gt;&lt;/m:rPr&gt;&lt;w:rPr&gt;&lt;w:rFonts w:ascii=&quot;Cambria Math&quot; w:h-ansi=&quot;Cambria Math&quot;/&gt;&lt;wx:font wx:val=&quot;Cambria Math&quot;/&gt;&lt;w:b/&gt;&lt;w:sz-cs w:val=&quot;20&quot;/&gt;&lt;/w:rPr&gt;&lt;m:t&gt;∙&lt;/m:t&gt;&lt;/m:r&gt;&lt;m:sSub&gt;&lt;m:sSubPr&gt;&lt;m:ctrlPr&gt;&lt;w:rPr&gt;&lt;w:rFonts w:ascii=&quot;Cambria Math&quot; w:fareast=&quot;Gulim&quot; w:h-ansi=&quot;Cambria Math&quot;/&gt;&lt;wx:font wx:val=&quot;Cambria Math&quot;/&gt;&lt;w:b/&gt;&lt;w:b-cs/&gt;&lt;w:lang w:fareast=&quot;KO&quot;/&gt;&lt;/w:rPr&gt;&lt;/m:ctrlPr&gt;&lt;/m:sSubPr&gt;&lt;m:e&gt;&lt;m:r&gt;&lt;m:rPr&gt;&lt;m:sty m:val=&quot;b&quot;/&gt;&lt;/m:rPr&gt;&lt;w:rPr&gt;&lt;w:rFonts w:ascii=&quot;Cambria Math&quot; w:h-ansi=&quot;Cambria Math&quot;/&gt;&lt;wx:font wx:val=&quot;Cambria Math&quot;/&gt;&lt;w:b/&gt;&lt;w:sz-cs w:val=&quot;20&quot;/&gt;&lt;/w:rPr&gt;&lt;m:t&gt;T&lt;/m:t&gt;&lt;/m:r&gt;&lt;/m:e&gt;&lt;m:sub&gt;&lt;m:r&gt;&lt;m:rPr&gt;&lt;m:sty m:val=&quot;b&quot;/&gt;&lt;/m:rPr&gt;&lt;w:rPr&gt;&lt;w:rFonts w:ascii=&quot;Cambria Math&quot; w:h-ansi=&quot;Cambria Math&quot;/&gt;&lt;wx:font wx:val=&quot;Cambria Math&quot;/&gt;&lt;w:b/&gt;&lt;w:sz-cs w:val=&quot;20&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ascii="Times New Roman" w:hAnsi="Times New Roman"/>
                <w:szCs w:val="20"/>
              </w:rPr>
              <w:instrText xml:space="preserve"> </w:instrText>
            </w:r>
            <w:r>
              <w:rPr>
                <w:rFonts w:ascii="Times New Roman" w:hAnsi="Times New Roman"/>
                <w:szCs w:val="20"/>
              </w:rPr>
              <w:fldChar w:fldCharType="separate"/>
            </w:r>
            <w:r>
              <w:rPr>
                <w:position w:val="-5"/>
              </w:rPr>
              <w:pict>
                <v:shape id="_x0000_i1026" o:spt="75" type="#_x0000_t75" style="height:12pt;width:44.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30906&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508D9&quot;/&gt;&lt;wsp:rsid wsp:val=&quot;00F52B54&quot;/&gt;&lt;wsp:rsid wsp:val=&quot;00F56B1E&quot;/&gt;&lt;wsp:rsid wsp:val=&quot;00F673CB&quot;/&gt;&lt;wsp:rsid wsp:val=&quot;00F724AE&quot;/&gt;&lt;wsp:rsid wsp:val=&quot;00F7565D&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B30906&quot; wsp:rsidP=&quot;00B30906&quot;&gt;&lt;m:oMathPara&gt;&lt;m:oMath&gt;&lt;m:f&gt;&lt;m:fPr&gt;&lt;m:type m:val=&quot;lin&quot;/&gt;&lt;m:ctrlPr&gt;&lt;w:rPr&gt;&lt;w:rFonts w:ascii=&quot;Cambria Math&quot; w:fareast=&quot;Gulim&quot; w:h-ansi=&quot;Cambria Math&quot;/&gt;&lt;wx:font wx:val=&quot;Cambria Math&quot;/&gt;&lt;w:b/&gt;&lt;w:b-cs/&gt;&lt;w:lang w:fareast=&quot;KO&quot;/&gt;&lt;/w:rPr&gt;&lt;/m:ctrlPr&gt;&lt;/m:fPr&gt;&lt;m:num&gt;&lt;m:r&gt;&lt;m:rPr&gt;&lt;m:sty m:val=&quot;b&quot;/&gt;&lt;/m:rPr&gt;&lt;w:rPr&gt;&lt;w:rFonts w:ascii=&quot;Cambria Math&quot; w:h-ansi=&quot;Cambria Math&quot;/&gt;&lt;wx:font wx:val=&quot;Cambria Math&quot;/&gt;&lt;w:b/&gt;&lt;w:sz-cs w:val=&quot;20&quot;/&gt;&lt;/w:rPr&gt;&lt;m:t&gt;64&lt;/m:t&gt;&lt;/m:r&gt;&lt;/m:num&gt;&lt;m:den&gt;&lt;m:sSup&gt;&lt;m:sSupPr&gt;&lt;m:ctrlPr&gt;&lt;w:rPr&gt;&lt;w:rFonts w:ascii=&quot;Cambria Math&quot; w:fareast=&quot;Gulim&quot; w:h-ansi=&quot;Cambria Math&quot;/&gt;&lt;wx:font wx:val=&quot;Cambria Math&quot;/&gt;&lt;w:b/&gt;&lt;w:b-cs/&gt;&lt;w:lang w:fareast=&quot;KO&quot;/&gt;&lt;/w:rPr&gt;&lt;/m:ctrlPr&gt;&lt;/m:sSupPr&gt;&lt;m:e&gt;&lt;m:r&gt;&lt;m:rPr&gt;&lt;m:sty m:val=&quot;b&quot;/&gt;&lt;/m:rPr&gt;&lt;w:rPr&gt;&lt;w:rFonts w:ascii=&quot;Cambria Math&quot; w:h-ansi=&quot;Cambria Math&quot;/&gt;&lt;wx:font wx:val=&quot;Cambria Math&quot;/&gt;&lt;w:b/&gt;&lt;w:sz-cs w:val=&quot;20&quot;/&gt;&lt;/w:rPr&gt;&lt;m:t&gt;2&lt;/m:t&gt;&lt;/m:r&gt;&lt;/m:e&gt;&lt;m:sup&gt;&lt;m:r&gt;&lt;m:rPr&gt;&lt;m:sty m:val=&quot;b&quot;/&gt;&lt;/m:rPr&gt;&lt;w:rPr&gt;&lt;w:rFonts w:ascii=&quot;Cambria Math&quot; w:h-ansi=&quot;Cambria Math&quot;/&gt;&lt;wx:font wx:val=&quot;Cambria Math&quot;/&gt;&lt;w:b/&gt;&lt;w:sz-cs w:val=&quot;20&quot;/&gt;&lt;/w:rPr&gt;&lt;m:t&gt;μ&lt;/m:t&gt;&lt;/m:r&gt;&lt;/m:sup&gt;&lt;/m:sSup&gt;&lt;/m:den&gt;&lt;/m:f&gt;&lt;m:r&gt;&lt;m:rPr&gt;&lt;m:sty m:val=&quot;b&quot;/&gt;&lt;/m:rPr&gt;&lt;w:rPr&gt;&lt;w:rFonts w:ascii=&quot;Cambria Math&quot; w:h-ansi=&quot;Cambria Math&quot;/&gt;&lt;wx:font wx:val=&quot;Cambria Math&quot;/&gt;&lt;w:b/&gt;&lt;w:sz-cs w:val=&quot;20&quot;/&gt;&lt;/w:rPr&gt;&lt;m:t&gt;∙&lt;/m:t&gt;&lt;/m:r&gt;&lt;m:sSub&gt;&lt;m:sSubPr&gt;&lt;m:ctrlPr&gt;&lt;w:rPr&gt;&lt;w:rFonts w:ascii=&quot;Cambria Math&quot; w:fareast=&quot;Gulim&quot; w:h-ansi=&quot;Cambria Math&quot;/&gt;&lt;wx:font wx:val=&quot;Cambria Math&quot;/&gt;&lt;w:b/&gt;&lt;w:b-cs/&gt;&lt;w:lang w:fareast=&quot;KO&quot;/&gt;&lt;/w:rPr&gt;&lt;/m:ctrlPr&gt;&lt;/m:sSubPr&gt;&lt;m:e&gt;&lt;m:r&gt;&lt;m:rPr&gt;&lt;m:sty m:val=&quot;b&quot;/&gt;&lt;/m:rPr&gt;&lt;w:rPr&gt;&lt;w:rFonts w:ascii=&quot;Cambria Math&quot; w:h-ansi=&quot;Cambria Math&quot;/&gt;&lt;wx:font wx:val=&quot;Cambria Math&quot;/&gt;&lt;w:b/&gt;&lt;w:sz-cs w:val=&quot;20&quot;/&gt;&lt;/w:rPr&gt;&lt;m:t&gt;T&lt;/m:t&gt;&lt;/m:r&gt;&lt;/m:e&gt;&lt;m:sub&gt;&lt;m:r&gt;&lt;m:rPr&gt;&lt;m:sty m:val=&quot;b&quot;/&gt;&lt;/m:rPr&gt;&lt;w:rPr&gt;&lt;w:rFonts w:ascii=&quot;Cambria Math&quot; w:h-ansi=&quot;Cambria Math&quot;/&gt;&lt;wx:font wx:val=&quot;Cambria Math&quot;/&gt;&lt;w:b/&gt;&lt;w:sz-cs w:val=&quot;20&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ascii="Times New Roman" w:hAnsi="Times New Roman"/>
                <w:szCs w:val="20"/>
              </w:rPr>
              <w:fldChar w:fldCharType="end"/>
            </w:r>
          </w:p>
          <w:p>
            <w:pPr>
              <w:pStyle w:val="41"/>
              <w:widowControl w:val="0"/>
              <w:numPr>
                <w:ilvl w:val="0"/>
                <w:numId w:val="8"/>
              </w:numPr>
              <w:spacing w:before="100" w:beforeAutospacing="1"/>
              <w:ind w:leftChars="0"/>
              <w:rPr>
                <w:rFonts w:ascii="Times New Roman" w:hAnsi="Times New Roman"/>
                <w:lang w:val="en-US"/>
              </w:rPr>
            </w:pPr>
            <w:r>
              <w:rPr>
                <w:rFonts w:ascii="Times New Roman" w:hAnsi="Times New Roman"/>
                <w:lang w:val="en-US"/>
              </w:rPr>
              <w:t> </w:t>
            </w:r>
            <w:r>
              <w:rPr>
                <w:rFonts w:ascii="Times New Roman" w:hAnsi="Times New Roman"/>
              </w:rPr>
              <w:t>μ is the highest allowed numerology supported for data, for the given Frequency Range</w:t>
            </w:r>
          </w:p>
          <w:p>
            <w:pPr>
              <w:widowControl w:val="0"/>
            </w:pPr>
          </w:p>
          <w:p>
            <w:pPr>
              <w:widowControl w:val="0"/>
              <w:rPr>
                <w:u w:val="single"/>
              </w:rPr>
            </w:pPr>
            <w:r>
              <w:rPr>
                <w:u w:val="single"/>
              </w:rPr>
              <w:t>Conclusion:</w:t>
            </w:r>
          </w:p>
          <w:p>
            <w:pPr>
              <w:widowControl w:val="0"/>
              <w:rPr>
                <w:rFonts w:ascii="Times New Roman" w:hAnsi="Times New Roman"/>
                <w:szCs w:val="20"/>
              </w:rPr>
            </w:pPr>
            <w:r>
              <w:rPr>
                <w:rFonts w:ascii="Times New Roman" w:hAnsi="Times New Roman"/>
                <w:szCs w:val="20"/>
              </w:rPr>
              <w:t>Do not define a TA margin.</w:t>
            </w:r>
          </w:p>
          <w:p>
            <w:pPr>
              <w:widowControl w:val="0"/>
              <w:rPr>
                <w:rFonts w:ascii="Times New Roman" w:hAnsi="Times New Roman"/>
                <w:szCs w:val="20"/>
              </w:rPr>
            </w:pPr>
          </w:p>
          <w:p>
            <w:pPr>
              <w:widowControl w:val="0"/>
              <w:rPr>
                <w:rFonts w:ascii="Times New Roman" w:hAnsi="Times New Roman"/>
                <w:szCs w:val="20"/>
              </w:rPr>
            </w:pPr>
            <w:r>
              <w:rPr>
                <w:rFonts w:ascii="Times New Roman" w:hAnsi="Times New Roman"/>
                <w:szCs w:val="20"/>
                <w:highlight w:val="darkYellow"/>
              </w:rPr>
              <w:t>Working assumption:</w:t>
            </w:r>
          </w:p>
          <w:p>
            <w:pPr>
              <w:widowControl w:val="0"/>
              <w:numPr>
                <w:ilvl w:val="0"/>
                <w:numId w:val="9"/>
              </w:numPr>
              <w:rPr>
                <w:rFonts w:ascii="Times New Roman" w:hAnsi="Times New Roman"/>
                <w:szCs w:val="20"/>
                <w:lang w:eastAsia="zh-TW"/>
              </w:rPr>
            </w:pPr>
            <w:r>
              <w:rPr>
                <w:rFonts w:ascii="Times New Roman" w:hAnsi="Times New Roman"/>
                <w:szCs w:val="20"/>
                <w:lang w:eastAsia="zh-TW"/>
              </w:rPr>
              <w:t>Support serving satellite ephemeris format bit allocations for LEO/MEO/GEO based non-terrestrial access network.:</w:t>
            </w:r>
          </w:p>
          <w:p>
            <w:pPr>
              <w:widowControl w:val="0"/>
              <w:numPr>
                <w:ilvl w:val="1"/>
                <w:numId w:val="9"/>
              </w:numPr>
              <w:rPr>
                <w:rFonts w:ascii="Times New Roman" w:hAnsi="Times New Roman"/>
                <w:szCs w:val="20"/>
                <w:lang w:eastAsia="zh-TW"/>
              </w:rPr>
            </w:pPr>
            <w:r>
              <w:rPr>
                <w:rFonts w:ascii="Times New Roman" w:hAnsi="Times New Roman"/>
                <w:szCs w:val="20"/>
                <w:lang w:eastAsia="zh-TW"/>
              </w:rPr>
              <w:t xml:space="preserve">Position and velocity state vector ephemeris format [17 bytes payload]. </w:t>
            </w:r>
          </w:p>
          <w:p>
            <w:pPr>
              <w:widowControl w:val="0"/>
              <w:numPr>
                <w:ilvl w:val="2"/>
                <w:numId w:val="9"/>
              </w:numPr>
              <w:rPr>
                <w:rFonts w:ascii="Times New Roman" w:hAnsi="Times New Roman"/>
                <w:szCs w:val="20"/>
                <w:lang w:eastAsia="zh-TW"/>
              </w:rPr>
            </w:pPr>
            <w:r>
              <w:rPr>
                <w:rFonts w:ascii="Times New Roman" w:hAnsi="Times New Roman"/>
                <w:szCs w:val="20"/>
                <w:lang w:eastAsia="zh-TW"/>
              </w:rPr>
              <w:t>The field size for position [m]  is [78 bits]</w:t>
            </w:r>
          </w:p>
          <w:p>
            <w:pPr>
              <w:widowControl w:val="0"/>
              <w:numPr>
                <w:ilvl w:val="3"/>
                <w:numId w:val="9"/>
              </w:numPr>
              <w:rPr>
                <w:rFonts w:ascii="Times New Roman" w:hAnsi="Times New Roman"/>
                <w:szCs w:val="20"/>
                <w:lang w:eastAsia="zh-TW"/>
              </w:rPr>
            </w:pPr>
            <w:r>
              <w:rPr>
                <w:rFonts w:ascii="Times New Roman" w:hAnsi="Times New Roman"/>
                <w:szCs w:val="20"/>
                <w:lang w:eastAsia="zh-TW"/>
              </w:rPr>
              <w:t>Position range is driven by GEO : +/- 42 200 km</w:t>
            </w:r>
          </w:p>
          <w:p>
            <w:pPr>
              <w:widowControl w:val="0"/>
              <w:numPr>
                <w:ilvl w:val="3"/>
                <w:numId w:val="9"/>
              </w:numPr>
              <w:rPr>
                <w:rFonts w:ascii="Times New Roman" w:hAnsi="Times New Roman"/>
                <w:szCs w:val="20"/>
                <w:lang w:eastAsia="zh-TW"/>
              </w:rPr>
            </w:pPr>
            <w:r>
              <w:rPr>
                <w:rFonts w:ascii="Times New Roman" w:hAnsi="Times New Roman"/>
                <w:szCs w:val="20"/>
                <w:lang w:eastAsia="zh-TW"/>
              </w:rPr>
              <w:t>The quantization step is [1.3m] for position</w:t>
            </w:r>
          </w:p>
          <w:p>
            <w:pPr>
              <w:widowControl w:val="0"/>
              <w:numPr>
                <w:ilvl w:val="2"/>
                <w:numId w:val="9"/>
              </w:numPr>
              <w:rPr>
                <w:rFonts w:ascii="Times New Roman" w:hAnsi="Times New Roman"/>
                <w:szCs w:val="20"/>
                <w:lang w:eastAsia="zh-TW"/>
              </w:rPr>
            </w:pPr>
            <w:r>
              <w:rPr>
                <w:rFonts w:ascii="Times New Roman" w:hAnsi="Times New Roman"/>
                <w:szCs w:val="20"/>
                <w:lang w:eastAsia="zh-TW"/>
              </w:rPr>
              <w:t>The field size for velocity [m/s] is [54 bits]</w:t>
            </w:r>
          </w:p>
          <w:p>
            <w:pPr>
              <w:widowControl w:val="0"/>
              <w:numPr>
                <w:ilvl w:val="3"/>
                <w:numId w:val="9"/>
              </w:numPr>
              <w:rPr>
                <w:rFonts w:ascii="Times New Roman" w:hAnsi="Times New Roman"/>
                <w:szCs w:val="20"/>
                <w:lang w:eastAsia="zh-TW"/>
              </w:rPr>
            </w:pPr>
            <w:r>
              <w:rPr>
                <w:rFonts w:ascii="Times New Roman" w:hAnsi="Times New Roman"/>
                <w:szCs w:val="20"/>
                <w:lang w:eastAsia="zh-TW"/>
              </w:rPr>
              <w:t>Velocity range is driven by LEO@600 km: +/- 8000 m/s</w:t>
            </w:r>
          </w:p>
          <w:p>
            <w:pPr>
              <w:widowControl w:val="0"/>
              <w:numPr>
                <w:ilvl w:val="3"/>
                <w:numId w:val="9"/>
              </w:numPr>
              <w:rPr>
                <w:rFonts w:ascii="Times New Roman" w:hAnsi="Times New Roman"/>
                <w:szCs w:val="20"/>
                <w:lang w:eastAsia="zh-TW"/>
              </w:rPr>
            </w:pPr>
            <w:r>
              <w:rPr>
                <w:rFonts w:ascii="Times New Roman" w:hAnsi="Times New Roman"/>
                <w:szCs w:val="20"/>
                <w:lang w:eastAsia="zh-TW"/>
              </w:rPr>
              <w:t>The quantization step is [0.06 m/s] for Velocity</w:t>
            </w:r>
          </w:p>
          <w:p>
            <w:pPr>
              <w:widowControl w:val="0"/>
              <w:numPr>
                <w:ilvl w:val="1"/>
                <w:numId w:val="9"/>
              </w:numPr>
              <w:rPr>
                <w:rFonts w:ascii="Times New Roman" w:hAnsi="Times New Roman"/>
                <w:szCs w:val="20"/>
                <w:lang w:eastAsia="zh-TW"/>
              </w:rPr>
            </w:pPr>
            <w:r>
              <w:rPr>
                <w:rFonts w:ascii="Times New Roman" w:hAnsi="Times New Roman"/>
                <w:szCs w:val="20"/>
                <w:lang w:eastAsia="zh-TW"/>
              </w:rPr>
              <w:t>Orbital parameter ephemeris format [18 byte payload]</w:t>
            </w:r>
          </w:p>
          <w:p>
            <w:pPr>
              <w:widowControl w:val="0"/>
              <w:numPr>
                <w:ilvl w:val="2"/>
                <w:numId w:val="9"/>
              </w:numPr>
              <w:rPr>
                <w:rFonts w:ascii="Times New Roman" w:hAnsi="Times New Roman"/>
                <w:szCs w:val="20"/>
                <w:lang w:eastAsia="zh-TW"/>
              </w:rPr>
            </w:pPr>
            <w:r>
              <w:rPr>
                <w:rFonts w:ascii="Times New Roman" w:hAnsi="Times New Roman"/>
                <w:szCs w:val="20"/>
                <w:lang w:eastAsia="zh-TW"/>
              </w:rPr>
              <w:t>Semi-major axis α [m] is [33 bits]</w:t>
            </w:r>
          </w:p>
          <w:p>
            <w:pPr>
              <w:widowControl w:val="0"/>
              <w:numPr>
                <w:ilvl w:val="3"/>
                <w:numId w:val="9"/>
              </w:numPr>
              <w:rPr>
                <w:rFonts w:ascii="Times New Roman" w:hAnsi="Times New Roman"/>
                <w:szCs w:val="20"/>
                <w:lang w:eastAsia="zh-TW"/>
              </w:rPr>
            </w:pPr>
            <w:r>
              <w:rPr>
                <w:rFonts w:ascii="Times New Roman" w:hAnsi="Times New Roman"/>
                <w:szCs w:val="20"/>
                <w:lang w:eastAsia="zh-TW"/>
              </w:rPr>
              <w:t>Range: [6500, 43000]km</w:t>
            </w:r>
          </w:p>
          <w:p>
            <w:pPr>
              <w:widowControl w:val="0"/>
              <w:numPr>
                <w:ilvl w:val="2"/>
                <w:numId w:val="9"/>
              </w:numPr>
              <w:rPr>
                <w:rFonts w:ascii="Times New Roman" w:hAnsi="Times New Roman"/>
                <w:szCs w:val="20"/>
                <w:lang w:eastAsia="zh-TW"/>
              </w:rPr>
            </w:pPr>
            <w:r>
              <w:rPr>
                <w:rFonts w:ascii="Times New Roman" w:hAnsi="Times New Roman"/>
                <w:szCs w:val="20"/>
                <w:lang w:eastAsia="zh-TW"/>
              </w:rPr>
              <w:t>Eccentricity e is [19 bits]</w:t>
            </w:r>
          </w:p>
          <w:p>
            <w:pPr>
              <w:widowControl w:val="0"/>
              <w:numPr>
                <w:ilvl w:val="3"/>
                <w:numId w:val="9"/>
              </w:numPr>
              <w:rPr>
                <w:rFonts w:ascii="Times New Roman" w:hAnsi="Times New Roman"/>
                <w:szCs w:val="20"/>
                <w:lang w:eastAsia="zh-TW"/>
              </w:rPr>
            </w:pPr>
            <w:r>
              <w:rPr>
                <w:rFonts w:ascii="Times New Roman" w:hAnsi="Times New Roman"/>
                <w:szCs w:val="20"/>
                <w:lang w:eastAsia="zh-TW"/>
              </w:rPr>
              <w:t>Range: ≤ 0.015</w:t>
            </w:r>
          </w:p>
          <w:p>
            <w:pPr>
              <w:widowControl w:val="0"/>
              <w:numPr>
                <w:ilvl w:val="2"/>
                <w:numId w:val="9"/>
              </w:numPr>
              <w:rPr>
                <w:rFonts w:ascii="Times New Roman" w:hAnsi="Times New Roman"/>
                <w:szCs w:val="20"/>
                <w:lang w:eastAsia="zh-TW"/>
              </w:rPr>
            </w:pPr>
            <w:r>
              <w:rPr>
                <w:rFonts w:ascii="Times New Roman" w:hAnsi="Times New Roman"/>
                <w:szCs w:val="20"/>
                <w:lang w:eastAsia="zh-TW"/>
              </w:rPr>
              <w:t xml:space="preserve">Argument of periapsis ω [rad] is [24 bits] </w:t>
            </w:r>
          </w:p>
          <w:p>
            <w:pPr>
              <w:widowControl w:val="0"/>
              <w:numPr>
                <w:ilvl w:val="3"/>
                <w:numId w:val="9"/>
              </w:numPr>
              <w:rPr>
                <w:rFonts w:ascii="Times New Roman" w:hAnsi="Times New Roman"/>
                <w:szCs w:val="20"/>
                <w:lang w:eastAsia="zh-TW"/>
              </w:rPr>
            </w:pPr>
            <w:r>
              <w:rPr>
                <w:rFonts w:ascii="Times New Roman" w:hAnsi="Times New Roman"/>
                <w:szCs w:val="20"/>
                <w:lang w:eastAsia="zh-TW"/>
              </w:rPr>
              <w:t>Range: [0, 2π]</w:t>
            </w:r>
          </w:p>
          <w:p>
            <w:pPr>
              <w:widowControl w:val="0"/>
              <w:numPr>
                <w:ilvl w:val="2"/>
                <w:numId w:val="9"/>
              </w:numPr>
              <w:rPr>
                <w:rFonts w:ascii="Times New Roman" w:hAnsi="Times New Roman"/>
                <w:szCs w:val="20"/>
                <w:lang w:eastAsia="zh-TW"/>
              </w:rPr>
            </w:pPr>
            <w:r>
              <w:rPr>
                <w:rFonts w:ascii="Times New Roman" w:hAnsi="Times New Roman"/>
                <w:szCs w:val="20"/>
                <w:lang w:eastAsia="zh-TW"/>
              </w:rPr>
              <w:t>Longitude of ascending node Ω [rad] is [21 bits]</w:t>
            </w:r>
          </w:p>
          <w:p>
            <w:pPr>
              <w:widowControl w:val="0"/>
              <w:numPr>
                <w:ilvl w:val="3"/>
                <w:numId w:val="9"/>
              </w:numPr>
              <w:rPr>
                <w:rFonts w:ascii="Times New Roman" w:hAnsi="Times New Roman"/>
                <w:szCs w:val="20"/>
                <w:lang w:eastAsia="zh-TW"/>
              </w:rPr>
            </w:pPr>
            <w:r>
              <w:rPr>
                <w:rFonts w:ascii="Times New Roman" w:hAnsi="Times New Roman"/>
                <w:szCs w:val="20"/>
                <w:lang w:eastAsia="zh-TW"/>
              </w:rPr>
              <w:t>Range: [-180o , +180o]</w:t>
            </w:r>
          </w:p>
          <w:p>
            <w:pPr>
              <w:widowControl w:val="0"/>
              <w:numPr>
                <w:ilvl w:val="2"/>
                <w:numId w:val="9"/>
              </w:numPr>
              <w:rPr>
                <w:rFonts w:ascii="Times New Roman" w:hAnsi="Times New Roman"/>
                <w:szCs w:val="20"/>
                <w:lang w:eastAsia="zh-TW"/>
              </w:rPr>
            </w:pPr>
            <w:r>
              <w:rPr>
                <w:rFonts w:ascii="Times New Roman" w:hAnsi="Times New Roman"/>
                <w:szCs w:val="20"/>
                <w:lang w:eastAsia="zh-TW"/>
              </w:rPr>
              <w:t>Inclination i [rad] is [20 bits]</w:t>
            </w:r>
          </w:p>
          <w:p>
            <w:pPr>
              <w:widowControl w:val="0"/>
              <w:numPr>
                <w:ilvl w:val="3"/>
                <w:numId w:val="9"/>
              </w:numPr>
              <w:rPr>
                <w:rFonts w:ascii="Times New Roman" w:hAnsi="Times New Roman"/>
                <w:szCs w:val="20"/>
                <w:lang w:eastAsia="zh-TW"/>
              </w:rPr>
            </w:pPr>
            <w:r>
              <w:rPr>
                <w:rFonts w:ascii="Times New Roman" w:hAnsi="Times New Roman"/>
                <w:szCs w:val="20"/>
                <w:lang w:eastAsia="zh-TW"/>
              </w:rPr>
              <w:t>Range: [-90o  , +90o ]</w:t>
            </w:r>
          </w:p>
          <w:p>
            <w:pPr>
              <w:widowControl w:val="0"/>
              <w:numPr>
                <w:ilvl w:val="2"/>
                <w:numId w:val="9"/>
              </w:numPr>
              <w:rPr>
                <w:rFonts w:ascii="Times New Roman" w:hAnsi="Times New Roman"/>
                <w:szCs w:val="20"/>
                <w:lang w:eastAsia="zh-TW"/>
              </w:rPr>
            </w:pPr>
            <w:r>
              <w:rPr>
                <w:rFonts w:ascii="Times New Roman" w:hAnsi="Times New Roman"/>
                <w:szCs w:val="20"/>
                <w:lang w:eastAsia="zh-TW"/>
              </w:rPr>
              <w:t>Mean anomaly M [rad] at epoch time to is [24 bits]</w:t>
            </w:r>
          </w:p>
          <w:p>
            <w:pPr>
              <w:widowControl w:val="0"/>
              <w:numPr>
                <w:ilvl w:val="3"/>
                <w:numId w:val="9"/>
              </w:numPr>
              <w:rPr>
                <w:rFonts w:ascii="Times New Roman" w:hAnsi="Times New Roman"/>
                <w:szCs w:val="20"/>
                <w:lang w:eastAsia="zh-TW"/>
              </w:rPr>
            </w:pPr>
            <w:r>
              <w:rPr>
                <w:rFonts w:ascii="Times New Roman" w:hAnsi="Times New Roman"/>
                <w:szCs w:val="20"/>
                <w:lang w:eastAsia="zh-TW"/>
              </w:rPr>
              <w:t>Range: [0, 2π]</w:t>
            </w:r>
          </w:p>
          <w:p>
            <w:pPr>
              <w:widowControl w:val="0"/>
              <w:numPr>
                <w:ilvl w:val="0"/>
                <w:numId w:val="9"/>
              </w:numPr>
              <w:rPr>
                <w:rFonts w:ascii="Times New Roman" w:hAnsi="Times New Roman"/>
                <w:szCs w:val="20"/>
                <w:lang w:eastAsia="ko-KR"/>
              </w:rPr>
            </w:pPr>
            <w:r>
              <w:rPr>
                <w:rFonts w:ascii="Times New Roman" w:hAnsi="Times New Roman"/>
                <w:szCs w:val="20"/>
                <w:lang w:eastAsia="zh-TW"/>
              </w:rPr>
              <w:t>FFS: Additional enhancement to optimize the signalling overhead.</w:t>
            </w:r>
          </w:p>
          <w:p>
            <w:pPr>
              <w:widowControl w:val="0"/>
              <w:numPr>
                <w:ilvl w:val="0"/>
                <w:numId w:val="9"/>
              </w:numPr>
              <w:rPr>
                <w:rFonts w:ascii="Times New Roman" w:hAnsi="Times New Roman"/>
                <w:szCs w:val="20"/>
                <w:lang w:eastAsia="zh-TW"/>
              </w:rPr>
            </w:pPr>
            <w:r>
              <w:rPr>
                <w:rFonts w:ascii="Times New Roman" w:hAnsi="Times New Roman"/>
                <w:szCs w:val="20"/>
                <w:lang w:eastAsia="zh-TW"/>
              </w:rPr>
              <w:t>FFS: Ephemeris format bit allocations for HAPS</w:t>
            </w:r>
          </w:p>
          <w:p>
            <w:pPr>
              <w:widowControl w:val="0"/>
            </w:pPr>
          </w:p>
          <w:p>
            <w:pPr>
              <w:widowControl w:val="0"/>
            </w:pPr>
            <w:bookmarkStart w:id="6" w:name="_Hlk85713696"/>
            <w:r>
              <w:t>R1-2110603</w:t>
            </w:r>
            <w:r>
              <w:tab/>
            </w:r>
            <w:r>
              <w:t>Draft LS on Combination of open and closed loop TA control in NTN</w:t>
            </w:r>
            <w:r>
              <w:tab/>
            </w:r>
            <w:r>
              <w:t>Moderator (Thales)</w:t>
            </w:r>
          </w:p>
          <w:p>
            <w:pPr>
              <w:widowControl w:val="0"/>
            </w:pPr>
            <w:r>
              <w:rPr>
                <w:highlight w:val="green"/>
              </w:rPr>
              <w:t>R1-2110604</w:t>
            </w:r>
            <w:r>
              <w:tab/>
            </w:r>
            <w:r>
              <w:t>LS on Combination of open and closed loop TA control in NTN</w:t>
            </w:r>
            <w:r>
              <w:tab/>
            </w:r>
            <w:r>
              <w:t>RAN1, Thales</w:t>
            </w:r>
          </w:p>
          <w:bookmarkEnd w:id="6"/>
          <w:p>
            <w:pPr>
              <w:widowControl w:val="0"/>
              <w:rPr>
                <w:rFonts w:cs="Times"/>
                <w:color w:val="1F497D"/>
                <w:sz w:val="22"/>
                <w:szCs w:val="22"/>
              </w:rPr>
            </w:pPr>
          </w:p>
        </w:tc>
      </w:tr>
      <w:bookmarkEnd w:id="5"/>
    </w:tbl>
    <w:p>
      <w:pPr>
        <w:adjustRightInd/>
        <w:spacing w:before="120"/>
        <w:contextualSpacing/>
        <w:rPr>
          <w:rFonts w:eastAsia="PMingLiU"/>
          <w:lang w:eastAsia="zh-TW"/>
        </w:rPr>
      </w:pPr>
    </w:p>
    <w:p>
      <w:pPr>
        <w:adjustRightInd/>
        <w:spacing w:before="120"/>
        <w:contextualSpacing/>
        <w:rPr>
          <w:lang w:eastAsia="zh-CN"/>
        </w:rPr>
      </w:pPr>
      <w:r>
        <w:rPr>
          <w:rFonts w:eastAsia="PMingLiU"/>
          <w:lang w:eastAsia="zh-TW"/>
        </w:rPr>
        <w:t xml:space="preserve">In this contribution, we discuss </w:t>
      </w:r>
      <w:r>
        <w:rPr>
          <w:rFonts w:hint="eastAsia"/>
          <w:lang w:eastAsia="zh-CN"/>
        </w:rPr>
        <w:t xml:space="preserve">some </w:t>
      </w:r>
      <w:r>
        <w:rPr>
          <w:rFonts w:eastAsia="PMingLiU"/>
          <w:lang w:eastAsia="zh-TW"/>
        </w:rPr>
        <w:t xml:space="preserve">remaining issues </w:t>
      </w:r>
      <w:r>
        <w:rPr>
          <w:rFonts w:hint="eastAsia"/>
          <w:lang w:eastAsia="zh-CN"/>
        </w:rPr>
        <w:t>for UL</w:t>
      </w:r>
      <w:r>
        <w:rPr>
          <w:rFonts w:eastAsia="PMingLiU"/>
          <w:lang w:eastAsia="zh-TW"/>
        </w:rPr>
        <w:t xml:space="preserve"> time and frequency synchronization in NTN</w:t>
      </w:r>
      <w:r>
        <w:rPr>
          <w:lang w:eastAsia="zh-CN"/>
        </w:rPr>
        <w:t xml:space="preserve">. </w:t>
      </w:r>
    </w:p>
    <w:p>
      <w:pPr>
        <w:adjustRightInd/>
        <w:spacing w:before="120"/>
        <w:contextualSpacing/>
        <w:rPr>
          <w:lang w:eastAsia="zh-CN"/>
        </w:rPr>
      </w:pPr>
    </w:p>
    <w:p>
      <w:pPr>
        <w:pStyle w:val="2"/>
      </w:pPr>
      <w:r>
        <w:rPr>
          <w:rFonts w:hint="eastAsia"/>
          <w:lang w:val="en-US" w:eastAsia="zh-CN"/>
        </w:rPr>
        <w:t>Content</w:t>
      </w:r>
    </w:p>
    <w:p>
      <w:pPr>
        <w:adjustRightInd/>
        <w:spacing w:before="120"/>
        <w:contextualSpacing/>
        <w:rPr>
          <w:lang w:eastAsia="zh-CN"/>
        </w:rPr>
      </w:pPr>
    </w:p>
    <w:p>
      <w:pPr>
        <w:pStyle w:val="3"/>
        <w:numPr>
          <w:ilvl w:val="1"/>
          <w:numId w:val="0"/>
        </w:numPr>
        <w:ind w:leftChars="0"/>
        <w:rPr>
          <w:sz w:val="32"/>
          <w:szCs w:val="32"/>
        </w:rPr>
      </w:pPr>
      <w:bookmarkStart w:id="7" w:name="_Ref129681832"/>
      <w:r>
        <w:rPr>
          <w:rFonts w:hint="eastAsia"/>
          <w:sz w:val="32"/>
          <w:szCs w:val="32"/>
          <w:lang w:val="en-US" w:eastAsia="zh-CN"/>
        </w:rPr>
        <w:t xml:space="preserve">Issue#1: </w:t>
      </w:r>
      <w:r>
        <w:rPr>
          <w:sz w:val="32"/>
          <w:szCs w:val="32"/>
          <w:lang w:val="en-GB"/>
        </w:rPr>
        <w:t>Indication of Common TA drift parameters</w:t>
      </w:r>
      <w:r>
        <w:rPr>
          <w:sz w:val="32"/>
          <w:szCs w:val="32"/>
        </w:rPr>
        <w:t xml:space="preserve"> </w:t>
      </w:r>
    </w:p>
    <w:p>
      <w:pPr>
        <w:rPr>
          <w:rFonts w:hint="eastAsia" w:hAnsi="Cambria Math"/>
          <w:lang w:val="en-US" w:eastAsia="zh-CN"/>
        </w:rPr>
      </w:pPr>
      <w:bookmarkStart w:id="8" w:name="OLE_LINK2"/>
      <w:r>
        <w:rPr>
          <w:rFonts w:hint="eastAsia" w:hAnsi="Cambria Math"/>
          <w:lang w:val="en-US" w:eastAsia="zh-CN"/>
        </w:rPr>
        <w:t>In #106bis-e meeting, the following agreement was made.</w:t>
      </w:r>
    </w:p>
    <w:tbl>
      <w:tblPr>
        <w:tblStyle w:val="30"/>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trPr>
        <w:tc>
          <w:tcPr>
            <w:tcW w:w="9638" w:type="dxa"/>
          </w:tcPr>
          <w:p>
            <w:pPr>
              <w:widowControl w:val="0"/>
              <w:rPr>
                <w:lang w:eastAsia="zh-CN"/>
              </w:rPr>
            </w:pPr>
            <w:r>
              <w:rPr>
                <w:highlight w:val="green"/>
                <w:lang w:eastAsia="zh-CN"/>
              </w:rPr>
              <w:t>Agreement:</w:t>
            </w:r>
          </w:p>
          <w:p>
            <w:pPr>
              <w:widowControl w:val="0"/>
              <w:rPr>
                <w:lang w:eastAsia="zh-CN"/>
              </w:rPr>
            </w:pPr>
            <w:r>
              <w:rPr>
                <w:lang w:eastAsia="zh-CN"/>
              </w:rPr>
              <w:t>In NTN, the Network may optionally indicate one or more of the following parameters:</w:t>
            </w:r>
          </w:p>
          <w:p>
            <w:pPr>
              <w:pStyle w:val="41"/>
              <w:widowControl w:val="0"/>
              <w:numPr>
                <w:ilvl w:val="0"/>
                <w:numId w:val="8"/>
              </w:numPr>
              <w:spacing w:after="100" w:afterAutospacing="1"/>
            </w:pPr>
            <w:r>
              <w:t>Common TA , Common TA drift rate and Common TA drift rate variation.</w:t>
            </w:r>
          </w:p>
          <w:p>
            <w:pPr>
              <w:pStyle w:val="41"/>
              <w:widowControl w:val="0"/>
              <w:numPr>
                <w:ilvl w:val="0"/>
                <w:numId w:val="8"/>
              </w:numPr>
              <w:spacing w:before="100" w:beforeAutospacing="1" w:after="100" w:afterAutospacing="1"/>
            </w:pPr>
            <w:r>
              <w:t>FFS: Common TA third order derivative.</w:t>
            </w:r>
          </w:p>
          <w:p>
            <w:pPr>
              <w:pStyle w:val="41"/>
              <w:widowControl w:val="0"/>
              <w:numPr>
                <w:ilvl w:val="0"/>
                <w:numId w:val="8"/>
              </w:numPr>
              <w:spacing w:before="100" w:beforeAutospacing="1" w:after="100" w:afterAutospacing="1"/>
              <w:rPr>
                <w:rFonts w:eastAsia="MS Mincho"/>
                <w:b/>
                <w:bCs/>
              </w:rPr>
            </w:pPr>
            <w:r>
              <w:rPr>
                <w:color w:val="000000"/>
              </w:rPr>
              <w:t>FFS: Details of combination of Common TA parameters</w:t>
            </w:r>
          </w:p>
        </w:tc>
      </w:tr>
    </w:tbl>
    <w:p>
      <w:pPr>
        <w:rPr>
          <w:rFonts w:hint="default" w:hAnsi="Cambria Math"/>
          <w:lang w:val="en-US" w:eastAsia="zh-CN"/>
        </w:rPr>
      </w:pPr>
    </w:p>
    <w:bookmarkEnd w:id="8"/>
    <w:p>
      <w:pPr>
        <w:rPr>
          <w:rFonts w:hint="default"/>
          <w:lang w:val="en-US" w:eastAsia="zh-CN"/>
        </w:rPr>
      </w:pPr>
      <w:r>
        <w:rPr>
          <w:rFonts w:hint="eastAsia"/>
          <w:lang w:val="en-US" w:eastAsia="zh-CN"/>
        </w:rPr>
        <w:t xml:space="preserve">The third order derivative of common TA is surely good for a longer validation period. On the other hand, precision of these parameters are also very important. If the precision is low, the result will not be good even if higher order derivative is given. The precision depends on errors in ephemeris information, mathematical modeling, and fixed point quantification (related to the bitwidth of these parameters, or </w:t>
      </w:r>
      <w:r>
        <w:t>granularity</w:t>
      </w:r>
      <w:r>
        <w:rPr>
          <w:rFonts w:hint="eastAsia"/>
          <w:lang w:val="en-US" w:eastAsia="zh-CN"/>
        </w:rPr>
        <w:t>).  We agree to include Common TA, Common TA drift rate and Common TA drift rate variation as the baseline. And further discussion should not be in isolation with precision level of these parameters.</w:t>
      </w:r>
    </w:p>
    <w:p>
      <w:pPr>
        <w:rPr>
          <w:rFonts w:hint="default"/>
          <w:lang w:val="en-US" w:eastAsia="zh-CN"/>
        </w:rPr>
      </w:pPr>
    </w:p>
    <w:p>
      <w:pPr>
        <w:rPr>
          <w:rFonts w:hint="default"/>
          <w:b/>
          <w:bCs/>
          <w:lang w:val="en-US" w:eastAsia="zh-CN"/>
        </w:rPr>
      </w:pPr>
      <w:r>
        <w:rPr>
          <w:rFonts w:hint="eastAsia"/>
          <w:b/>
          <w:bCs/>
          <w:color w:val="000000"/>
          <w:lang w:val="en-US" w:eastAsia="zh-CN"/>
        </w:rPr>
        <w:t>Observation 1</w:t>
      </w:r>
      <w:r>
        <w:rPr>
          <w:b/>
          <w:bCs/>
          <w:color w:val="000000"/>
        </w:rPr>
        <w:t xml:space="preserve">: </w:t>
      </w:r>
      <w:r>
        <w:rPr>
          <w:rFonts w:hint="eastAsia"/>
          <w:b/>
          <w:bCs/>
          <w:szCs w:val="22"/>
          <w:lang w:val="en-US" w:eastAsia="zh-CN"/>
        </w:rPr>
        <w:t xml:space="preserve"> If precision level of the 1st and 2nd order derivatives is low, higher order derivative may not achieve the expected result. </w:t>
      </w:r>
    </w:p>
    <w:p>
      <w:pPr>
        <w:rPr>
          <w:rFonts w:hint="default"/>
          <w:b/>
          <w:bCs/>
          <w:lang w:val="en-US" w:eastAsia="zh-CN"/>
        </w:rPr>
      </w:pPr>
      <w:r>
        <w:rPr>
          <w:rFonts w:hint="eastAsia"/>
          <w:b/>
          <w:bCs/>
          <w:color w:val="000000"/>
          <w:lang w:val="en-US" w:eastAsia="zh-CN"/>
        </w:rPr>
        <w:t>Proposal 1</w:t>
      </w:r>
      <w:r>
        <w:rPr>
          <w:b/>
          <w:bCs/>
          <w:color w:val="000000"/>
        </w:rPr>
        <w:t xml:space="preserve">: </w:t>
      </w:r>
      <w:r>
        <w:rPr>
          <w:rFonts w:hint="eastAsia"/>
          <w:b/>
          <w:bCs/>
          <w:szCs w:val="22"/>
          <w:lang w:val="en-US" w:eastAsia="zh-CN"/>
        </w:rPr>
        <w:t>Indication of Common TA drift parameters should be considered together with their p</w:t>
      </w:r>
      <w:r>
        <w:rPr>
          <w:rFonts w:hint="eastAsia"/>
          <w:b/>
          <w:bCs/>
          <w:lang w:val="en-US" w:eastAsia="zh-CN"/>
        </w:rPr>
        <w:t>recision level.</w:t>
      </w:r>
    </w:p>
    <w:p>
      <w:pPr>
        <w:rPr>
          <w:b/>
          <w:bCs/>
          <w:lang w:eastAsia="zh-CN"/>
        </w:rPr>
      </w:pPr>
    </w:p>
    <w:p>
      <w:pPr>
        <w:pStyle w:val="3"/>
        <w:numPr>
          <w:ilvl w:val="1"/>
          <w:numId w:val="0"/>
        </w:numPr>
        <w:ind w:leftChars="0"/>
        <w:rPr>
          <w:sz w:val="32"/>
          <w:szCs w:val="32"/>
        </w:rPr>
      </w:pPr>
      <w:bookmarkStart w:id="9" w:name="OLE_LINK19"/>
      <w:r>
        <w:rPr>
          <w:rFonts w:hint="eastAsia"/>
          <w:sz w:val="32"/>
          <w:szCs w:val="32"/>
          <w:lang w:val="en-US" w:eastAsia="zh-CN"/>
        </w:rPr>
        <w:t xml:space="preserve">Issue#2: </w:t>
      </w:r>
      <w:r>
        <w:rPr>
          <w:rFonts w:hint="eastAsia"/>
          <w:sz w:val="32"/>
          <w:szCs w:val="32"/>
        </w:rPr>
        <w:t>Granularity</w:t>
      </w:r>
      <w:bookmarkEnd w:id="9"/>
      <w:r>
        <w:rPr>
          <w:rFonts w:hint="eastAsia"/>
          <w:sz w:val="32"/>
          <w:szCs w:val="32"/>
        </w:rPr>
        <w:t xml:space="preserve"> and </w:t>
      </w:r>
      <w:r>
        <w:rPr>
          <w:rFonts w:hint="eastAsia"/>
          <w:sz w:val="32"/>
          <w:szCs w:val="32"/>
          <w:lang w:eastAsia="zh-CN"/>
        </w:rPr>
        <w:t>signalling</w:t>
      </w:r>
      <w:r>
        <w:rPr>
          <w:rFonts w:hint="eastAsia"/>
          <w:sz w:val="32"/>
          <w:szCs w:val="32"/>
        </w:rPr>
        <w:t xml:space="preserve"> of Common TA</w:t>
      </w:r>
    </w:p>
    <w:p>
      <w:pPr>
        <w:pStyle w:val="41"/>
        <w:widowControl w:val="0"/>
        <w:ind w:left="0" w:leftChars="0" w:firstLine="0" w:firstLineChars="0"/>
        <w:rPr>
          <w:rFonts w:hint="default" w:eastAsia="宋体"/>
          <w:szCs w:val="22"/>
          <w:lang w:val="en-US" w:eastAsia="zh-CN"/>
        </w:rPr>
      </w:pPr>
      <w:r>
        <w:rPr>
          <w:rFonts w:hint="eastAsia"/>
          <w:szCs w:val="22"/>
          <w:lang w:val="en-US" w:eastAsia="zh-CN"/>
        </w:rPr>
        <w:t>In #106bis-e meeting, the following agreement and FL recommendation have been made:</w:t>
      </w:r>
    </w:p>
    <w:tbl>
      <w:tblPr>
        <w:tblStyle w:val="30"/>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trPr>
        <w:tc>
          <w:tcPr>
            <w:tcW w:w="9638" w:type="dxa"/>
          </w:tcPr>
          <w:p>
            <w:pPr>
              <w:widowControl w:val="0"/>
              <w:rPr>
                <w:lang w:eastAsia="zh-CN"/>
              </w:rPr>
            </w:pPr>
            <w:r>
              <w:rPr>
                <w:highlight w:val="green"/>
                <w:lang w:eastAsia="zh-CN"/>
              </w:rPr>
              <w:t>Agreement:</w:t>
            </w:r>
          </w:p>
          <w:p>
            <w:pPr>
              <w:pStyle w:val="41"/>
              <w:widowControl w:val="0"/>
              <w:numPr>
                <w:ilvl w:val="0"/>
                <w:numId w:val="8"/>
              </w:numPr>
              <w:spacing w:after="0"/>
            </w:pPr>
            <w:r>
              <w:t xml:space="preserve">The granularity of Common TA is set to be </w:t>
            </w:r>
            <m:oMath>
              <m:f>
                <m:fPr>
                  <m:type m:val="lin"/>
                  <m:ctrlPr>
                    <w:rPr>
                      <w:rFonts w:ascii="Cambria Math" w:hAnsi="Cambria Math" w:eastAsia="Gulim"/>
                      <w:b/>
                      <w:bCs/>
                      <w:lang w:eastAsia="ko-KR"/>
                    </w:rPr>
                  </m:ctrlPr>
                </m:fPr>
                <m:num>
                  <m:r>
                    <m:rPr>
                      <m:sty m:val="b"/>
                    </m:rPr>
                    <w:rPr>
                      <w:rFonts w:ascii="Cambria Math" w:hAnsi="Cambria Math"/>
                    </w:rPr>
                    <m:t>64</m:t>
                  </m:r>
                  <m:ctrlPr>
                    <w:rPr>
                      <w:rFonts w:ascii="Cambria Math" w:hAnsi="Cambria Math" w:eastAsia="Gulim"/>
                      <w:b/>
                      <w:bCs/>
                      <w:lang w:eastAsia="ko-KR"/>
                    </w:rPr>
                  </m:ctrlPr>
                </m:num>
                <m:den>
                  <m:sSup>
                    <m:sSupPr>
                      <m:ctrlPr>
                        <w:rPr>
                          <w:rFonts w:ascii="Cambria Math" w:hAnsi="Cambria Math" w:eastAsia="Gulim"/>
                          <w:b/>
                          <w:bCs/>
                          <w:lang w:eastAsia="ko-KR"/>
                        </w:rPr>
                      </m:ctrlPr>
                    </m:sSupPr>
                    <m:e>
                      <m:r>
                        <m:rPr>
                          <m:sty m:val="b"/>
                        </m:rPr>
                        <w:rPr>
                          <w:rFonts w:ascii="Cambria Math" w:hAnsi="Cambria Math"/>
                        </w:rPr>
                        <m:t>2</m:t>
                      </m:r>
                      <m:ctrlPr>
                        <w:rPr>
                          <w:rFonts w:ascii="Cambria Math" w:hAnsi="Cambria Math" w:eastAsia="Gulim"/>
                          <w:b/>
                          <w:bCs/>
                          <w:lang w:eastAsia="ko-KR"/>
                        </w:rPr>
                      </m:ctrlPr>
                    </m:e>
                    <m:sup>
                      <m:r>
                        <m:rPr>
                          <m:sty m:val="b"/>
                        </m:rPr>
                        <w:rPr>
                          <w:rFonts w:ascii="Cambria Math" w:hAnsi="Cambria Math"/>
                        </w:rPr>
                        <m:t>μ</m:t>
                      </m:r>
                      <m:ctrlPr>
                        <w:rPr>
                          <w:rFonts w:ascii="Cambria Math" w:hAnsi="Cambria Math" w:eastAsia="Gulim"/>
                          <w:b/>
                          <w:bCs/>
                          <w:lang w:eastAsia="ko-KR"/>
                        </w:rPr>
                      </m:ctrlPr>
                    </m:sup>
                  </m:sSup>
                  <m:ctrlPr>
                    <w:rPr>
                      <w:rFonts w:ascii="Cambria Math" w:hAnsi="Cambria Math" w:eastAsia="Gulim"/>
                      <w:b/>
                      <w:bCs/>
                      <w:lang w:eastAsia="ko-KR"/>
                    </w:rPr>
                  </m:ctrlPr>
                </m:den>
              </m:f>
              <m:r>
                <m:rPr>
                  <m:sty m:val="b"/>
                </m:rPr>
                <w:rPr>
                  <w:rFonts w:ascii="Cambria Math" w:hAnsi="Cambria Math"/>
                </w:rPr>
                <m:t>∙</m:t>
              </m:r>
              <m:sSub>
                <m:sSubPr>
                  <m:ctrlPr>
                    <w:rPr>
                      <w:rFonts w:ascii="Cambria Math" w:hAnsi="Cambria Math" w:eastAsia="Gulim"/>
                      <w:b/>
                      <w:bCs/>
                      <w:lang w:eastAsia="ko-KR"/>
                    </w:rPr>
                  </m:ctrlPr>
                </m:sSubPr>
                <m:e>
                  <m:r>
                    <m:rPr>
                      <m:sty m:val="b"/>
                    </m:rPr>
                    <w:rPr>
                      <w:rFonts w:ascii="Cambria Math" w:hAnsi="Cambria Math"/>
                    </w:rPr>
                    <m:t>T</m:t>
                  </m:r>
                  <m:ctrlPr>
                    <w:rPr>
                      <w:rFonts w:ascii="Cambria Math" w:hAnsi="Cambria Math" w:eastAsia="Gulim"/>
                      <w:b/>
                      <w:bCs/>
                      <w:lang w:eastAsia="ko-KR"/>
                    </w:rPr>
                  </m:ctrlPr>
                </m:e>
                <m:sub>
                  <m:r>
                    <m:rPr>
                      <m:sty m:val="b"/>
                    </m:rPr>
                    <w:rPr>
                      <w:rFonts w:ascii="Cambria Math" w:hAnsi="Cambria Math"/>
                    </w:rPr>
                    <m:t>c</m:t>
                  </m:r>
                  <m:ctrlPr>
                    <w:rPr>
                      <w:rFonts w:ascii="Cambria Math" w:hAnsi="Cambria Math" w:eastAsia="Gulim"/>
                      <w:b/>
                      <w:bCs/>
                      <w:lang w:eastAsia="ko-KR"/>
                    </w:rPr>
                  </m:ctrlPr>
                </m:sub>
              </m:sSub>
            </m:oMath>
          </w:p>
          <w:p>
            <w:pPr>
              <w:pStyle w:val="41"/>
              <w:widowControl w:val="0"/>
              <w:numPr>
                <w:ilvl w:val="0"/>
                <w:numId w:val="8"/>
              </w:numPr>
              <w:spacing w:before="100" w:beforeAutospacing="1" w:after="0"/>
            </w:pPr>
            <w:r>
              <w:t> μ is the highest allowed numerology supported for data, for the given Frequency Range</w:t>
            </w:r>
          </w:p>
          <w:p>
            <w:pPr>
              <w:widowControl w:val="0"/>
            </w:pPr>
          </w:p>
          <w:p>
            <w:pPr>
              <w:widowControl w:val="0"/>
              <w:rPr>
                <w:b/>
                <w:highlight w:val="cyan"/>
              </w:rPr>
            </w:pPr>
            <w:r>
              <w:rPr>
                <w:b/>
                <w:highlight w:val="cyan"/>
              </w:rPr>
              <w:t>FL Recommendation:</w:t>
            </w:r>
          </w:p>
          <w:p>
            <w:pPr>
              <w:widowControl w:val="0"/>
              <w:rPr>
                <w:b/>
                <w:highlight w:val="cyan"/>
              </w:rPr>
            </w:pPr>
            <w:r>
              <w:rPr>
                <w:b/>
                <w:highlight w:val="cyan"/>
              </w:rPr>
              <w:t>For the next RAN1 meeting, Companies are encouraged to provide inputs regarding:</w:t>
            </w:r>
          </w:p>
          <w:p>
            <w:pPr>
              <w:pStyle w:val="41"/>
              <w:widowControl w:val="0"/>
              <w:numPr>
                <w:ilvl w:val="0"/>
                <w:numId w:val="10"/>
              </w:numPr>
              <w:rPr>
                <w:b/>
                <w:highlight w:val="cyan"/>
              </w:rPr>
            </w:pPr>
            <w:r>
              <w:rPr>
                <w:rFonts w:eastAsia="Times New Roman"/>
                <w:b/>
                <w:bCs/>
                <w:highlight w:val="cyan"/>
                <w:lang w:eastAsia="fr-FR"/>
              </w:rPr>
              <w:t>Value range and Default value for:</w:t>
            </w:r>
          </w:p>
          <w:p>
            <w:pPr>
              <w:pStyle w:val="41"/>
              <w:widowControl w:val="0"/>
              <w:numPr>
                <w:ilvl w:val="1"/>
                <w:numId w:val="10"/>
              </w:numPr>
              <w:rPr>
                <w:b/>
                <w:highlight w:val="cyan"/>
              </w:rPr>
            </w:pPr>
            <w:r>
              <w:rPr>
                <w:rFonts w:eastAsia="Times New Roman"/>
                <w:b/>
                <w:color w:val="000000"/>
                <w:sz w:val="18"/>
                <w:szCs w:val="18"/>
                <w:highlight w:val="cyan"/>
                <w:lang w:val="fr-FR" w:eastAsia="fr-FR"/>
              </w:rPr>
              <w:t>TACommon</w:t>
            </w:r>
          </w:p>
          <w:p>
            <w:pPr>
              <w:pStyle w:val="41"/>
              <w:widowControl w:val="0"/>
              <w:numPr>
                <w:ilvl w:val="1"/>
                <w:numId w:val="10"/>
              </w:numPr>
              <w:rPr>
                <w:b/>
                <w:highlight w:val="cyan"/>
              </w:rPr>
            </w:pPr>
            <w:r>
              <w:rPr>
                <w:rFonts w:eastAsia="Times New Roman"/>
                <w:b/>
                <w:color w:val="000000"/>
                <w:sz w:val="18"/>
                <w:szCs w:val="18"/>
                <w:highlight w:val="cyan"/>
                <w:lang w:val="fr-FR" w:eastAsia="fr-FR"/>
              </w:rPr>
              <w:t>TACommonDrift</w:t>
            </w:r>
          </w:p>
          <w:p>
            <w:pPr>
              <w:pStyle w:val="41"/>
              <w:widowControl w:val="0"/>
              <w:numPr>
                <w:ilvl w:val="1"/>
                <w:numId w:val="10"/>
              </w:numPr>
              <w:rPr>
                <w:b/>
                <w:highlight w:val="cyan"/>
              </w:rPr>
            </w:pPr>
            <w:r>
              <w:rPr>
                <w:rFonts w:eastAsia="Times New Roman"/>
                <w:b/>
                <w:color w:val="000000"/>
                <w:sz w:val="18"/>
                <w:szCs w:val="18"/>
                <w:highlight w:val="cyan"/>
                <w:lang w:val="fr-FR" w:eastAsia="fr-FR"/>
              </w:rPr>
              <w:t>TACommonDriftVariation</w:t>
            </w:r>
          </w:p>
          <w:p>
            <w:pPr>
              <w:pStyle w:val="41"/>
              <w:widowControl w:val="0"/>
              <w:numPr>
                <w:ilvl w:val="0"/>
                <w:numId w:val="10"/>
              </w:numPr>
              <w:rPr>
                <w:rFonts w:eastAsia="Times New Roman"/>
                <w:b/>
                <w:bCs/>
                <w:highlight w:val="cyan"/>
                <w:lang w:eastAsia="fr-FR"/>
              </w:rPr>
            </w:pPr>
            <w:r>
              <w:rPr>
                <w:rFonts w:eastAsia="Times New Roman"/>
                <w:b/>
                <w:bCs/>
                <w:highlight w:val="cyan"/>
                <w:lang w:eastAsia="fr-FR"/>
              </w:rPr>
              <w:t xml:space="preserve">Other signaling details: Apart from indication on SIB, Do Common TA related parameters need to be indicated via dedicated signaling? .e.g. when the UE is not configured with a Common Search space within the active BWP </w:t>
            </w:r>
          </w:p>
          <w:p>
            <w:pPr>
              <w:pStyle w:val="41"/>
              <w:widowControl w:val="0"/>
              <w:numPr>
                <w:ilvl w:val="0"/>
                <w:numId w:val="0"/>
              </w:numPr>
              <w:rPr>
                <w:rFonts w:eastAsia="MS Mincho"/>
                <w:b/>
                <w:bCs/>
              </w:rPr>
            </w:pPr>
          </w:p>
        </w:tc>
      </w:tr>
    </w:tbl>
    <w:p>
      <w:pPr>
        <w:rPr>
          <w:rFonts w:hint="eastAsia"/>
          <w:lang w:val="en-US" w:eastAsia="zh-CN"/>
        </w:rPr>
      </w:pPr>
    </w:p>
    <w:p>
      <w:pPr>
        <w:rPr>
          <w:rFonts w:hint="eastAsia"/>
          <w:lang w:val="en-US" w:eastAsia="zh-CN"/>
        </w:rPr>
      </w:pPr>
      <w:r>
        <w:rPr>
          <w:rFonts w:hint="eastAsia"/>
          <w:lang w:val="en-US" w:eastAsia="zh-CN"/>
        </w:rPr>
        <w:t xml:space="preserve">We understand the granularity of Common TA is agreed. But it is still unclear about the precision level of Common TA drift rate and Common TA drift rate variation. </w:t>
      </w:r>
    </w:p>
    <w:p>
      <w:pPr>
        <w:rPr>
          <w:rFonts w:hint="eastAsia"/>
          <w:lang w:val="en-US" w:eastAsia="zh-CN"/>
        </w:rPr>
      </w:pPr>
    </w:p>
    <w:p>
      <w:pPr>
        <w:rPr>
          <w:rFonts w:hint="default"/>
          <w:b/>
          <w:bCs/>
          <w:lang w:val="en-US" w:eastAsia="zh-CN"/>
        </w:rPr>
      </w:pPr>
      <w:r>
        <w:rPr>
          <w:rFonts w:hint="eastAsia"/>
          <w:b/>
          <w:bCs/>
          <w:color w:val="000000"/>
          <w:lang w:val="en-US" w:eastAsia="zh-CN"/>
        </w:rPr>
        <w:t>Observation 2</w:t>
      </w:r>
      <w:r>
        <w:rPr>
          <w:b/>
          <w:bCs/>
          <w:color w:val="000000"/>
        </w:rPr>
        <w:t xml:space="preserve">: </w:t>
      </w:r>
      <w:r>
        <w:rPr>
          <w:rFonts w:hint="eastAsia"/>
          <w:b/>
          <w:bCs/>
          <w:szCs w:val="22"/>
          <w:lang w:val="en-US" w:eastAsia="zh-CN"/>
        </w:rPr>
        <w:t xml:space="preserve"> I</w:t>
      </w:r>
      <w:r>
        <w:rPr>
          <w:rFonts w:hint="eastAsia"/>
          <w:b/>
          <w:bCs/>
          <w:lang w:val="en-US" w:eastAsia="zh-CN"/>
        </w:rPr>
        <w:t xml:space="preserve">t is still unclear about the precision level of Common TA drift rate and Common TA drift rate variation. </w:t>
      </w:r>
    </w:p>
    <w:p>
      <w:pPr>
        <w:rPr>
          <w:rFonts w:hint="default"/>
          <w:b/>
          <w:bCs/>
          <w:lang w:val="en-US" w:eastAsia="zh-CN"/>
        </w:rPr>
      </w:pPr>
      <w:r>
        <w:rPr>
          <w:rFonts w:hint="eastAsia"/>
          <w:b/>
          <w:bCs/>
          <w:color w:val="000000"/>
          <w:lang w:val="en-US" w:eastAsia="zh-CN"/>
        </w:rPr>
        <w:t>Proposal 2</w:t>
      </w:r>
      <w:r>
        <w:rPr>
          <w:b/>
          <w:bCs/>
          <w:color w:val="000000"/>
        </w:rPr>
        <w:t xml:space="preserve">: </w:t>
      </w:r>
      <w:r>
        <w:rPr>
          <w:rFonts w:hint="eastAsia"/>
          <w:b/>
          <w:bCs/>
          <w:szCs w:val="22"/>
          <w:lang w:val="en-US" w:eastAsia="zh-CN"/>
        </w:rPr>
        <w:t xml:space="preserve">Clarify </w:t>
      </w:r>
      <w:r>
        <w:rPr>
          <w:rFonts w:hint="eastAsia"/>
          <w:b/>
          <w:bCs/>
          <w:lang w:val="en-US" w:eastAsia="zh-CN"/>
        </w:rPr>
        <w:t xml:space="preserve">the precision level of Common TA drift rate and Common TA drift rate variation. </w:t>
      </w:r>
    </w:p>
    <w:p>
      <w:pPr>
        <w:rPr>
          <w:rFonts w:hint="default"/>
          <w:lang w:val="en-US" w:eastAsia="zh-CN"/>
        </w:rPr>
      </w:pPr>
    </w:p>
    <w:p>
      <w:pPr>
        <w:rPr>
          <w:rFonts w:hint="eastAsia"/>
          <w:lang w:eastAsia="zh-CN"/>
        </w:rPr>
      </w:pPr>
    </w:p>
    <w:p>
      <w:pPr>
        <w:pStyle w:val="3"/>
        <w:numPr>
          <w:ilvl w:val="1"/>
          <w:numId w:val="0"/>
        </w:numPr>
        <w:ind w:leftChars="0"/>
        <w:rPr>
          <w:rFonts w:hint="default" w:eastAsia="宋体"/>
          <w:sz w:val="32"/>
          <w:szCs w:val="32"/>
          <w:lang w:val="en-US" w:eastAsia="zh-CN"/>
        </w:rPr>
      </w:pPr>
      <w:bookmarkStart w:id="10" w:name="_Toc80303184"/>
      <w:r>
        <w:rPr>
          <w:sz w:val="32"/>
          <w:szCs w:val="32"/>
        </w:rPr>
        <w:t>Issue#</w:t>
      </w:r>
      <w:r>
        <w:rPr>
          <w:rFonts w:hint="eastAsia"/>
          <w:sz w:val="32"/>
          <w:szCs w:val="32"/>
          <w:lang w:val="en-US" w:eastAsia="zh-CN"/>
        </w:rPr>
        <w:t>3</w:t>
      </w:r>
      <w:r>
        <w:rPr>
          <w:sz w:val="32"/>
          <w:szCs w:val="32"/>
        </w:rPr>
        <w:t xml:space="preserve">: The </w:t>
      </w:r>
      <w:bookmarkEnd w:id="10"/>
      <w:r>
        <w:rPr>
          <w:rFonts w:hint="eastAsia"/>
          <w:sz w:val="32"/>
          <w:szCs w:val="32"/>
          <w:lang w:val="en-US" w:eastAsia="zh-CN"/>
        </w:rPr>
        <w:t>reference time of common TA parameters</w:t>
      </w:r>
    </w:p>
    <w:p>
      <w:pPr>
        <w:pStyle w:val="41"/>
        <w:widowControl w:val="0"/>
        <w:ind w:left="0" w:leftChars="0" w:firstLine="0" w:firstLineChars="0"/>
        <w:rPr>
          <w:rFonts w:hint="eastAsia"/>
          <w:szCs w:val="22"/>
          <w:lang w:val="en-US" w:eastAsia="zh-CN"/>
        </w:rPr>
      </w:pPr>
      <w:r>
        <w:rPr>
          <w:rFonts w:hint="eastAsia"/>
          <w:szCs w:val="22"/>
          <w:lang w:val="en-US" w:eastAsia="zh-CN"/>
        </w:rPr>
        <w:t>In #106bis-e meeting, the following agreement and FL recommendation have been made:</w:t>
      </w:r>
    </w:p>
    <w:tbl>
      <w:tblPr>
        <w:tblStyle w:val="30"/>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trPr>
        <w:tc>
          <w:tcPr>
            <w:tcW w:w="9638" w:type="dxa"/>
          </w:tcPr>
          <w:p>
            <w:pPr>
              <w:widowControl w:val="0"/>
              <w:rPr>
                <w:b/>
                <w:lang w:eastAsia="zh-CN"/>
              </w:rPr>
            </w:pPr>
            <w:r>
              <w:rPr>
                <w:b/>
                <w:highlight w:val="green"/>
                <w:lang w:eastAsia="zh-CN"/>
              </w:rPr>
              <w:t>Agreement:</w:t>
            </w:r>
          </w:p>
          <w:p>
            <w:pPr>
              <w:widowControl w:val="0"/>
              <w:rPr>
                <w:b/>
                <w:lang w:eastAsia="zh-CN"/>
              </w:rPr>
            </w:pPr>
            <w:r>
              <w:rPr>
                <w:b/>
                <w:lang w:eastAsia="zh-CN"/>
              </w:rPr>
              <w:t>Common TA Epoch time is implicitly known as a reference time defined by the starting time of a DL slot and/or frame.</w:t>
            </w:r>
          </w:p>
          <w:p>
            <w:pPr>
              <w:widowControl w:val="0"/>
              <w:numPr>
                <w:ilvl w:val="0"/>
                <w:numId w:val="5"/>
              </w:numPr>
              <w:spacing w:after="0"/>
              <w:rPr>
                <w:b/>
                <w:lang w:eastAsia="zh-CN"/>
              </w:rPr>
            </w:pPr>
            <w:r>
              <w:rPr>
                <w:b/>
                <w:lang w:eastAsia="zh-CN"/>
              </w:rPr>
              <w:t>FFS: Whether this starting time is given by predefined rule or it is indicated by the Network</w:t>
            </w:r>
          </w:p>
          <w:p>
            <w:pPr>
              <w:widowControl w:val="0"/>
              <w:numPr>
                <w:ilvl w:val="1"/>
                <w:numId w:val="6"/>
              </w:numPr>
              <w:spacing w:after="0"/>
              <w:rPr>
                <w:b/>
                <w:lang w:eastAsia="zh-CN"/>
              </w:rPr>
            </w:pPr>
            <w:r>
              <w:rPr>
                <w:b/>
                <w:lang w:eastAsia="zh-CN"/>
              </w:rPr>
              <w:t>Note: “implicitly known” means that UTC is not provided to define the Common TA epoch time.</w:t>
            </w:r>
          </w:p>
          <w:p>
            <w:pPr>
              <w:widowControl w:val="0"/>
            </w:pPr>
          </w:p>
          <w:p>
            <w:pPr>
              <w:pStyle w:val="41"/>
              <w:widowControl w:val="0"/>
              <w:numPr>
                <w:ilvl w:val="0"/>
                <w:numId w:val="0"/>
              </w:numPr>
              <w:rPr>
                <w:rFonts w:eastAsia="MS Mincho"/>
                <w:b/>
                <w:bCs/>
              </w:rPr>
            </w:pPr>
          </w:p>
          <w:p>
            <w:pPr>
              <w:widowControl w:val="0"/>
              <w:rPr>
                <w:rFonts w:eastAsia="Calibri"/>
                <w:b/>
                <w:bCs/>
                <w:lang w:eastAsia="fr-FR"/>
              </w:rPr>
            </w:pPr>
            <w:r>
              <w:rPr>
                <w:rFonts w:eastAsia="Calibri"/>
                <w:b/>
                <w:bCs/>
                <w:highlight w:val="cyan"/>
                <w:lang w:eastAsia="fr-FR"/>
              </w:rPr>
              <w:t>FL recommendation:</w:t>
            </w:r>
          </w:p>
          <w:p>
            <w:pPr>
              <w:widowControl w:val="0"/>
              <w:rPr>
                <w:rFonts w:eastAsia="Calibri"/>
                <w:b/>
                <w:bCs/>
                <w:highlight w:val="cyan"/>
                <w:lang w:eastAsia="fr-FR"/>
              </w:rPr>
            </w:pPr>
            <w:r>
              <w:rPr>
                <w:rFonts w:eastAsia="Calibri"/>
                <w:b/>
                <w:bCs/>
                <w:highlight w:val="cyan"/>
                <w:lang w:eastAsia="fr-FR"/>
              </w:rPr>
              <w:t>For the next RAN1’s meeting: Companies are encouraged to provide views/inputs on:</w:t>
            </w:r>
          </w:p>
          <w:p>
            <w:pPr>
              <w:pStyle w:val="41"/>
              <w:widowControl w:val="0"/>
              <w:numPr>
                <w:ilvl w:val="0"/>
                <w:numId w:val="10"/>
              </w:numPr>
              <w:rPr>
                <w:rFonts w:eastAsia="Calibri"/>
                <w:b/>
                <w:bCs/>
                <w:highlight w:val="cyan"/>
                <w:lang w:eastAsia="fr-FR"/>
              </w:rPr>
            </w:pPr>
            <w:r>
              <w:rPr>
                <w:rFonts w:eastAsia="Calibri"/>
                <w:b/>
                <w:bCs/>
                <w:highlight w:val="cyan"/>
                <w:lang w:eastAsia="fr-FR"/>
              </w:rPr>
              <w:t xml:space="preserve">the reference point for epoch time of the Common TA parameters </w:t>
            </w:r>
          </w:p>
          <w:p>
            <w:pPr>
              <w:pStyle w:val="41"/>
              <w:widowControl w:val="0"/>
              <w:numPr>
                <w:ilvl w:val="0"/>
                <w:numId w:val="10"/>
              </w:numPr>
              <w:rPr>
                <w:rFonts w:eastAsia="Calibri"/>
                <w:b/>
                <w:bCs/>
                <w:highlight w:val="cyan"/>
                <w:lang w:eastAsia="fr-FR"/>
              </w:rPr>
            </w:pPr>
            <w:r>
              <w:rPr>
                <w:rFonts w:eastAsia="Calibri"/>
                <w:b/>
                <w:bCs/>
                <w:highlight w:val="cyan"/>
                <w:lang w:eastAsia="fr-FR"/>
              </w:rPr>
              <w:t>whether it is satellite or the NTN-GW</w:t>
            </w:r>
          </w:p>
          <w:p>
            <w:pPr>
              <w:pStyle w:val="41"/>
              <w:widowControl w:val="0"/>
              <w:numPr>
                <w:ilvl w:val="0"/>
                <w:numId w:val="0"/>
              </w:numPr>
              <w:rPr>
                <w:rFonts w:eastAsia="MS Mincho"/>
                <w:b/>
                <w:bCs/>
              </w:rPr>
            </w:pPr>
          </w:p>
        </w:tc>
      </w:tr>
    </w:tbl>
    <w:p>
      <w:pPr>
        <w:pStyle w:val="41"/>
        <w:widowControl w:val="0"/>
        <w:ind w:left="0" w:leftChars="0" w:firstLine="0" w:firstLineChars="0"/>
        <w:rPr>
          <w:rFonts w:hint="default"/>
          <w:szCs w:val="22"/>
          <w:lang w:val="en-US" w:eastAsia="zh-CN"/>
        </w:rPr>
      </w:pPr>
    </w:p>
    <w:p>
      <w:pPr>
        <w:pStyle w:val="41"/>
        <w:widowControl w:val="0"/>
        <w:numPr>
          <w:ilvl w:val="0"/>
          <w:numId w:val="0"/>
        </w:numPr>
        <w:rPr>
          <w:rFonts w:hint="default" w:eastAsia="宋体"/>
          <w:szCs w:val="22"/>
          <w:lang w:val="en-US" w:eastAsia="zh-CN"/>
        </w:rPr>
      </w:pPr>
    </w:p>
    <w:p>
      <w:pPr>
        <w:rPr>
          <w:rFonts w:hint="default"/>
          <w:b/>
          <w:bCs/>
          <w:color w:val="000000"/>
          <w:lang w:val="en-US" w:eastAsia="zh-CN"/>
        </w:rPr>
      </w:pPr>
      <w:r>
        <w:rPr>
          <w:b/>
          <w:bCs/>
          <w:color w:val="000000"/>
        </w:rPr>
        <w:t xml:space="preserve">Proposal </w:t>
      </w:r>
      <w:r>
        <w:rPr>
          <w:rFonts w:hint="eastAsia"/>
          <w:b/>
          <w:bCs/>
          <w:color w:val="000000"/>
          <w:lang w:val="en-US" w:eastAsia="zh-CN"/>
        </w:rPr>
        <w:t>3-1</w:t>
      </w:r>
      <w:r>
        <w:rPr>
          <w:b/>
          <w:bCs/>
          <w:color w:val="000000"/>
        </w:rPr>
        <w:t xml:space="preserve">: </w:t>
      </w:r>
      <w:r>
        <w:rPr>
          <w:rFonts w:hint="eastAsia"/>
          <w:b/>
          <w:bCs/>
          <w:color w:val="000000"/>
          <w:lang w:val="en-US" w:eastAsia="zh-CN"/>
        </w:rPr>
        <w:t>Common TA Epoch time is implicitly know as a reference time defined by the starting time of a DL slot and/or frame, which is given by predefined rule.</w:t>
      </w:r>
    </w:p>
    <w:p>
      <w:pPr>
        <w:spacing w:after="0"/>
        <w:rPr>
          <w:b/>
          <w:bCs/>
          <w:color w:val="000000"/>
        </w:rPr>
      </w:pPr>
    </w:p>
    <w:p>
      <w:pPr>
        <w:spacing w:after="0"/>
        <w:rPr>
          <w:rFonts w:hint="eastAsia" w:eastAsia="宋体"/>
          <w:b/>
          <w:bCs/>
          <w:lang w:val="en-US" w:eastAsia="zh-CN"/>
        </w:rPr>
      </w:pPr>
      <w:r>
        <w:rPr>
          <w:b/>
          <w:bCs/>
          <w:color w:val="000000"/>
        </w:rPr>
        <w:t xml:space="preserve">Proposal </w:t>
      </w:r>
      <w:r>
        <w:rPr>
          <w:rFonts w:hint="eastAsia"/>
          <w:b/>
          <w:bCs/>
          <w:color w:val="000000"/>
          <w:lang w:val="en-US" w:eastAsia="zh-CN"/>
        </w:rPr>
        <w:t>3-2</w:t>
      </w:r>
      <w:r>
        <w:rPr>
          <w:b/>
          <w:bCs/>
          <w:color w:val="000000"/>
        </w:rPr>
        <w:t xml:space="preserve">: </w:t>
      </w:r>
      <w:r>
        <w:rPr>
          <w:rFonts w:eastAsia="Calibri"/>
          <w:b/>
          <w:bCs/>
          <w:lang w:eastAsia="fr-FR"/>
        </w:rPr>
        <w:t>The reference point for epoch time of the Common TA parameters should be satellite</w:t>
      </w:r>
      <w:r>
        <w:rPr>
          <w:rFonts w:hint="eastAsia"/>
          <w:b/>
          <w:bCs/>
          <w:lang w:val="en-US" w:eastAsia="zh-CN"/>
        </w:rPr>
        <w:t>.</w:t>
      </w:r>
    </w:p>
    <w:p>
      <w:pPr>
        <w:pStyle w:val="41"/>
        <w:widowControl w:val="0"/>
        <w:numPr>
          <w:ilvl w:val="0"/>
          <w:numId w:val="0"/>
        </w:numPr>
        <w:rPr>
          <w:szCs w:val="22"/>
          <w:lang w:val="en-US"/>
        </w:rPr>
      </w:pPr>
    </w:p>
    <w:p>
      <w:pPr>
        <w:rPr>
          <w:rFonts w:hint="eastAsia"/>
          <w:lang w:eastAsia="zh-CN"/>
        </w:rPr>
      </w:pPr>
    </w:p>
    <w:p>
      <w:pPr>
        <w:pStyle w:val="3"/>
        <w:numPr>
          <w:ilvl w:val="1"/>
          <w:numId w:val="0"/>
        </w:numPr>
        <w:ind w:leftChars="0"/>
        <w:rPr>
          <w:sz w:val="32"/>
          <w:szCs w:val="32"/>
        </w:rPr>
      </w:pPr>
      <w:r>
        <w:rPr>
          <w:sz w:val="32"/>
          <w:szCs w:val="32"/>
        </w:rPr>
        <w:t>Issue#4: The need and the indication of TA margin</w:t>
      </w:r>
    </w:p>
    <w:p>
      <w:pPr>
        <w:pStyle w:val="41"/>
        <w:widowControl w:val="0"/>
        <w:ind w:left="0" w:leftChars="0" w:firstLine="0" w:firstLineChars="0"/>
        <w:rPr>
          <w:rFonts w:hint="default" w:eastAsia="宋体"/>
          <w:szCs w:val="22"/>
          <w:lang w:val="en-US" w:eastAsia="zh-CN"/>
        </w:rPr>
      </w:pPr>
      <w:r>
        <w:rPr>
          <w:rFonts w:hint="eastAsia"/>
          <w:szCs w:val="22"/>
          <w:lang w:val="en-US" w:eastAsia="zh-CN"/>
        </w:rPr>
        <w:t>In #106bis-e meeting, the following agreement and FL recommendation have been made:</w:t>
      </w:r>
    </w:p>
    <w:tbl>
      <w:tblPr>
        <w:tblStyle w:val="30"/>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trPr>
        <w:tc>
          <w:tcPr>
            <w:tcW w:w="9638" w:type="dxa"/>
          </w:tcPr>
          <w:p>
            <w:pPr>
              <w:widowControl w:val="0"/>
              <w:rPr>
                <w:u w:val="single"/>
                <w:lang w:eastAsia="zh-CN"/>
              </w:rPr>
            </w:pPr>
            <w:r>
              <w:rPr>
                <w:u w:val="single"/>
                <w:lang w:eastAsia="zh-CN"/>
              </w:rPr>
              <w:t>Conclusion:</w:t>
            </w:r>
          </w:p>
          <w:p>
            <w:pPr>
              <w:pStyle w:val="41"/>
              <w:widowControl w:val="0"/>
              <w:numPr>
                <w:ilvl w:val="0"/>
                <w:numId w:val="11"/>
              </w:numPr>
              <w:ind w:leftChars="0"/>
              <w:rPr>
                <w:rFonts w:eastAsia="MS Mincho"/>
                <w:b/>
                <w:bCs/>
              </w:rPr>
            </w:pPr>
            <w:r>
              <w:t>Do not define a TA margin.</w:t>
            </w:r>
          </w:p>
          <w:p>
            <w:pPr>
              <w:widowControl w:val="0"/>
            </w:pPr>
          </w:p>
          <w:p>
            <w:pPr>
              <w:widowControl w:val="0"/>
              <w:rPr>
                <w:b/>
              </w:rPr>
            </w:pPr>
            <w:r>
              <w:rPr>
                <w:b/>
                <w:highlight w:val="cyan"/>
              </w:rPr>
              <w:t>FL Recommendation:</w:t>
            </w:r>
          </w:p>
          <w:p>
            <w:pPr>
              <w:widowControl w:val="0"/>
              <w:rPr>
                <w:b/>
                <w:highlight w:val="cyan"/>
              </w:rPr>
            </w:pPr>
            <w:r>
              <w:rPr>
                <w:b/>
                <w:highlight w:val="cyan"/>
              </w:rPr>
              <w:t>For the next RAN1 meeting, companies are encouraged to provide inputs on the following questions/options:</w:t>
            </w:r>
          </w:p>
          <w:p>
            <w:pPr>
              <w:widowControl w:val="0"/>
              <w:rPr>
                <w:b/>
                <w:highlight w:val="cyan"/>
              </w:rPr>
            </w:pPr>
            <w:r>
              <w:rPr>
                <w:b/>
                <w:highlight w:val="cyan"/>
              </w:rPr>
              <w:t>If the UE advances its initial transmission w.r.t PRACH occasion (.e.g. by + Te_NTN) :</w:t>
            </w:r>
          </w:p>
          <w:p>
            <w:pPr>
              <w:pStyle w:val="41"/>
              <w:widowControl w:val="0"/>
              <w:numPr>
                <w:ilvl w:val="0"/>
                <w:numId w:val="12"/>
              </w:numPr>
              <w:rPr>
                <w:b/>
              </w:rPr>
            </w:pPr>
            <w:r>
              <w:rPr>
                <w:b/>
                <w:highlight w:val="cyan"/>
              </w:rPr>
              <w:t>RAN1 to clarify the behavior of gNB:</w:t>
            </w:r>
          </w:p>
          <w:p>
            <w:pPr>
              <w:pStyle w:val="41"/>
              <w:widowControl w:val="0"/>
              <w:numPr>
                <w:ilvl w:val="1"/>
                <w:numId w:val="12"/>
              </w:numPr>
              <w:rPr>
                <w:b/>
              </w:rPr>
            </w:pPr>
            <w:r>
              <w:rPr>
                <w:b/>
                <w:highlight w:val="cyan"/>
              </w:rPr>
              <w:t>What would be the adjustment to be sent in TAC/RAR?</w:t>
            </w:r>
          </w:p>
          <w:p>
            <w:pPr>
              <w:pStyle w:val="41"/>
              <w:widowControl w:val="0"/>
              <w:numPr>
                <w:ilvl w:val="2"/>
                <w:numId w:val="12"/>
              </w:numPr>
              <w:rPr>
                <w:highlight w:val="cyan"/>
              </w:rPr>
            </w:pPr>
            <w:r>
              <w:rPr>
                <w:b/>
                <w:highlight w:val="cyan"/>
              </w:rPr>
              <w:t>Option 1: the adjustment to be sent in TAC/RAR = 0</w:t>
            </w:r>
          </w:p>
          <w:p>
            <w:pPr>
              <w:widowControl w:val="0"/>
              <w:rPr>
                <w:b/>
                <w:highlight w:val="cyan"/>
              </w:rPr>
            </w:pPr>
            <w:r>
              <w:rPr>
                <w:b/>
                <w:highlight w:val="cyan"/>
              </w:rPr>
              <w:t>Or to avoid the UE advances its initial transmission:</w:t>
            </w:r>
          </w:p>
          <w:p>
            <w:pPr>
              <w:pStyle w:val="41"/>
              <w:widowControl w:val="0"/>
              <w:numPr>
                <w:ilvl w:val="0"/>
                <w:numId w:val="12"/>
              </w:numPr>
              <w:rPr>
                <w:highlight w:val="cyan"/>
              </w:rPr>
            </w:pPr>
            <w:r>
              <w:rPr>
                <w:b/>
                <w:highlight w:val="cyan"/>
              </w:rPr>
              <w:t xml:space="preserve">Option 2: </w:t>
            </w:r>
            <m:oMath>
              <m:r>
                <m:rPr>
                  <m:sty m:val="bi"/>
                </m:rPr>
                <w:rPr>
                  <w:rFonts w:ascii="Cambria Math" w:hAnsi="Cambria Math"/>
                  <w:highlight w:val="cyan"/>
                </w:rPr>
                <m:t>T</m:t>
              </m:r>
              <m:r>
                <m:rPr>
                  <m:sty m:val="b"/>
                </m:rPr>
                <w:rPr>
                  <w:rFonts w:ascii="Cambria Math" w:hAnsi="Cambria Math" w:eastAsia="Calibri"/>
                  <w:szCs w:val="22"/>
                  <w:highlight w:val="cyan"/>
                  <w:lang w:eastAsia="ko-KR"/>
                </w:rPr>
                <m:t>Acommon</m:t>
              </m:r>
            </m:oMath>
            <w:r>
              <w:rPr>
                <w:rStyle w:val="74"/>
                <w:rFonts w:eastAsia="Times New Roman"/>
                <w:szCs w:val="22"/>
                <w:highlight w:val="cyan"/>
              </w:rPr>
              <w:t> </w:t>
            </w:r>
            <w:r>
              <w:rPr>
                <w:rFonts w:eastAsia="宋体"/>
                <w:b/>
                <w:highlight w:val="cyan"/>
                <w:lang w:eastAsia="ko-KR"/>
              </w:rPr>
              <w:t xml:space="preserve">may include a timing offset (.e.g. = </w:t>
            </w:r>
            <w:r>
              <w:rPr>
                <w:b/>
                <w:highlight w:val="cyan"/>
              </w:rPr>
              <w:t>+ Te_NTN</w:t>
            </w:r>
            <w:r>
              <w:rPr>
                <w:rFonts w:eastAsia="宋体"/>
                <w:b/>
                <w:highlight w:val="cyan"/>
                <w:lang w:eastAsia="ko-KR"/>
              </w:rPr>
              <w:t xml:space="preserve"> ) if considered necessary to avoid that the UE over pre-compensates its TA during RACH procedure.</w:t>
            </w:r>
          </w:p>
          <w:p>
            <w:pPr>
              <w:pStyle w:val="41"/>
              <w:widowControl w:val="0"/>
              <w:numPr>
                <w:ilvl w:val="0"/>
                <w:numId w:val="0"/>
              </w:numPr>
              <w:rPr>
                <w:rFonts w:eastAsia="MS Mincho"/>
                <w:b/>
                <w:bCs/>
              </w:rPr>
            </w:pPr>
          </w:p>
        </w:tc>
      </w:tr>
    </w:tbl>
    <w:p>
      <w:pPr>
        <w:pStyle w:val="41"/>
        <w:widowControl w:val="0"/>
        <w:numPr>
          <w:ilvl w:val="0"/>
          <w:numId w:val="0"/>
        </w:numPr>
        <w:rPr>
          <w:rFonts w:hint="eastAsia"/>
          <w:szCs w:val="22"/>
          <w:lang w:val="en-US" w:eastAsia="zh-CN"/>
        </w:rPr>
      </w:pPr>
    </w:p>
    <w:p>
      <w:pPr>
        <w:pStyle w:val="41"/>
        <w:widowControl w:val="0"/>
        <w:numPr>
          <w:ilvl w:val="0"/>
          <w:numId w:val="0"/>
        </w:numPr>
        <w:rPr>
          <w:rFonts w:hint="default"/>
          <w:szCs w:val="22"/>
          <w:lang w:val="en-US" w:eastAsia="zh-CN"/>
        </w:rPr>
      </w:pPr>
      <w:r>
        <w:rPr>
          <w:rFonts w:hint="eastAsia"/>
          <w:szCs w:val="22"/>
          <w:lang w:val="en-US" w:eastAsia="zh-CN"/>
        </w:rPr>
        <w:t xml:space="preserve">Base on the conclusion that TA margin is not defined, we have the following views: </w:t>
      </w:r>
    </w:p>
    <w:p>
      <w:pPr>
        <w:pStyle w:val="41"/>
        <w:widowControl w:val="0"/>
        <w:numPr>
          <w:ilvl w:val="0"/>
          <w:numId w:val="13"/>
        </w:numPr>
        <w:ind w:left="0" w:leftChars="0" w:firstLine="0" w:firstLineChars="0"/>
        <w:rPr>
          <w:rFonts w:hint="default" w:eastAsia="宋体"/>
          <w:b w:val="0"/>
          <w:bCs w:val="0"/>
          <w:color w:val="000000"/>
          <w:lang w:val="en-US" w:eastAsia="zh-CN"/>
        </w:rPr>
      </w:pPr>
      <w:r>
        <w:rPr>
          <w:rFonts w:hint="eastAsia"/>
          <w:b w:val="0"/>
          <w:bCs w:val="0"/>
          <w:color w:val="000000"/>
          <w:lang w:val="en-US" w:eastAsia="zh-CN"/>
        </w:rPr>
        <w:t>If TA margin is not defined, it implies that the network can tolerate the p</w:t>
      </w:r>
      <w:r>
        <w:t>erformance impact (unwanted interference with previous PRACH occasion or UL PUSCH/PUCCH)</w:t>
      </w:r>
      <w:r>
        <w:rPr>
          <w:rFonts w:hint="eastAsia"/>
          <w:lang w:val="en-US" w:eastAsia="zh-CN"/>
        </w:rPr>
        <w:t xml:space="preserve"> due to i</w:t>
      </w:r>
      <w:r>
        <w:t>nitial TA overcompensation</w:t>
      </w:r>
      <w:r>
        <w:rPr>
          <w:rFonts w:hint="eastAsia"/>
          <w:lang w:val="en-US" w:eastAsia="zh-CN"/>
        </w:rPr>
        <w:t>. Basically, related issues can be up to implementations. Basically, there is no need to change the specifications at this stage.</w:t>
      </w:r>
    </w:p>
    <w:p>
      <w:pPr>
        <w:pStyle w:val="41"/>
        <w:widowControl w:val="0"/>
        <w:numPr>
          <w:ilvl w:val="0"/>
          <w:numId w:val="13"/>
        </w:numPr>
        <w:ind w:left="0" w:leftChars="0" w:firstLine="0" w:firstLineChars="0"/>
        <w:rPr>
          <w:rFonts w:hint="default" w:eastAsia="宋体"/>
          <w:b w:val="0"/>
          <w:bCs w:val="0"/>
          <w:color w:val="000000"/>
          <w:lang w:val="en-US" w:eastAsia="zh-CN"/>
        </w:rPr>
      </w:pPr>
      <w:r>
        <w:rPr>
          <w:rFonts w:hint="eastAsia"/>
          <w:b w:val="0"/>
          <w:bCs w:val="0"/>
          <w:lang w:val="en-US" w:eastAsia="zh-CN"/>
        </w:rPr>
        <w:t xml:space="preserve">If the UE advances its initial transmission w.r.t PRACH occasion, the TA to be sent in TAC/RAR = 0. </w:t>
      </w:r>
    </w:p>
    <w:p>
      <w:pPr>
        <w:pStyle w:val="41"/>
        <w:widowControl w:val="0"/>
        <w:numPr>
          <w:ilvl w:val="0"/>
          <w:numId w:val="13"/>
        </w:numPr>
        <w:ind w:left="0" w:leftChars="0" w:firstLine="0" w:firstLineChars="0"/>
        <w:rPr>
          <w:rFonts w:hint="default" w:eastAsia="宋体"/>
          <w:b w:val="0"/>
          <w:bCs w:val="0"/>
          <w:color w:val="000000"/>
          <w:lang w:val="en-US" w:eastAsia="zh-CN"/>
        </w:rPr>
      </w:pPr>
      <w:r>
        <w:rPr>
          <w:rFonts w:hint="eastAsia"/>
          <w:b w:val="0"/>
          <w:bCs w:val="0"/>
          <w:lang w:val="en-US" w:eastAsia="zh-CN"/>
        </w:rPr>
        <w:t>TAcommon should NOT include a timing offset. TAcommon is not only used in UE</w:t>
      </w:r>
      <w:r>
        <w:rPr>
          <w:rFonts w:hint="default"/>
          <w:b w:val="0"/>
          <w:bCs w:val="0"/>
          <w:lang w:val="en-US" w:eastAsia="zh-CN"/>
        </w:rPr>
        <w:t>’</w:t>
      </w:r>
      <w:r>
        <w:rPr>
          <w:rFonts w:hint="eastAsia"/>
          <w:b w:val="0"/>
          <w:bCs w:val="0"/>
          <w:lang w:val="en-US" w:eastAsia="zh-CN"/>
        </w:rPr>
        <w:t>s initial transmission but also used in UE</w:t>
      </w:r>
      <w:r>
        <w:rPr>
          <w:rFonts w:hint="default"/>
          <w:b w:val="0"/>
          <w:bCs w:val="0"/>
          <w:lang w:val="en-US" w:eastAsia="zh-CN"/>
        </w:rPr>
        <w:t>’</w:t>
      </w:r>
      <w:r>
        <w:rPr>
          <w:rFonts w:hint="eastAsia"/>
          <w:b w:val="0"/>
          <w:bCs w:val="0"/>
          <w:lang w:val="en-US" w:eastAsia="zh-CN"/>
        </w:rPr>
        <w:t xml:space="preserve">s other UL transmissions. </w:t>
      </w:r>
      <w:r>
        <w:rPr>
          <w:rFonts w:eastAsiaTheme="minorEastAsia"/>
          <w:b w:val="0"/>
          <w:bCs w:val="0"/>
          <w:lang w:eastAsia="zh-CN"/>
        </w:rPr>
        <w:t>Including the TA margin in the common TA introduces a bias for</w:t>
      </w:r>
      <w:r>
        <w:rPr>
          <w:rFonts w:hint="eastAsia" w:eastAsiaTheme="minorEastAsia"/>
          <w:b w:val="0"/>
          <w:bCs w:val="0"/>
          <w:lang w:val="en-US" w:eastAsia="zh-CN"/>
        </w:rPr>
        <w:t xml:space="preserve"> open loop TA adjustment</w:t>
      </w:r>
      <w:r>
        <w:rPr>
          <w:rFonts w:eastAsiaTheme="minorEastAsia"/>
          <w:b w:val="0"/>
          <w:bCs w:val="0"/>
          <w:lang w:eastAsia="zh-CN"/>
        </w:rPr>
        <w:t xml:space="preserve">. </w:t>
      </w:r>
      <w:r>
        <w:rPr>
          <w:rFonts w:hint="eastAsia" w:eastAsiaTheme="minorEastAsia"/>
          <w:b w:val="0"/>
          <w:bCs w:val="0"/>
          <w:lang w:val="en-US" w:eastAsia="zh-CN"/>
        </w:rPr>
        <w:t>W</w:t>
      </w:r>
      <w:r>
        <w:rPr>
          <w:rFonts w:hint="eastAsia" w:eastAsiaTheme="minorEastAsia"/>
          <w:b w:val="0"/>
          <w:bCs w:val="0"/>
          <w:lang w:eastAsia="zh-CN"/>
        </w:rPr>
        <w:t xml:space="preserve">hen UE </w:t>
      </w:r>
      <w:r>
        <w:rPr>
          <w:rFonts w:eastAsiaTheme="minorEastAsia"/>
          <w:b w:val="0"/>
          <w:bCs w:val="0"/>
          <w:lang w:eastAsia="zh-CN"/>
        </w:rPr>
        <w:t>wakes up from a long DRX cycle</w:t>
      </w:r>
      <w:r>
        <w:rPr>
          <w:rFonts w:hint="eastAsia" w:eastAsiaTheme="minorEastAsia"/>
          <w:b w:val="0"/>
          <w:bCs w:val="0"/>
          <w:lang w:eastAsia="zh-CN"/>
        </w:rPr>
        <w:t>, or when common TA is updated, only open loop TA is usable. Then out-of-synchronization will happen.</w:t>
      </w:r>
      <w:r>
        <w:rPr>
          <w:rFonts w:hint="eastAsia" w:eastAsiaTheme="minorEastAsia"/>
          <w:b w:val="0"/>
          <w:bCs w:val="0"/>
          <w:lang w:val="en-US" w:eastAsia="zh-CN"/>
        </w:rPr>
        <w:t xml:space="preserve"> </w:t>
      </w:r>
    </w:p>
    <w:p>
      <w:pPr>
        <w:pStyle w:val="41"/>
        <w:widowControl w:val="0"/>
        <w:numPr>
          <w:ilvl w:val="0"/>
          <w:numId w:val="0"/>
        </w:numPr>
        <w:ind w:leftChars="0"/>
        <w:rPr>
          <w:rFonts w:hint="default" w:eastAsia="宋体"/>
          <w:b/>
          <w:bCs/>
          <w:color w:val="000000"/>
          <w:lang w:val="en-US" w:eastAsia="zh-CN"/>
        </w:rPr>
      </w:pPr>
    </w:p>
    <w:p>
      <w:pPr>
        <w:pStyle w:val="41"/>
        <w:widowControl w:val="0"/>
        <w:numPr>
          <w:ilvl w:val="0"/>
          <w:numId w:val="0"/>
        </w:numPr>
        <w:ind w:leftChars="0"/>
        <w:rPr>
          <w:rFonts w:hint="eastAsia"/>
          <w:b/>
          <w:bCs/>
          <w:lang w:val="en-US" w:eastAsia="zh-CN"/>
        </w:rPr>
      </w:pPr>
      <w:r>
        <w:rPr>
          <w:b/>
          <w:bCs/>
          <w:color w:val="000000"/>
        </w:rPr>
        <w:t xml:space="preserve">Proposal </w:t>
      </w:r>
      <w:r>
        <w:rPr>
          <w:rFonts w:hint="eastAsia"/>
          <w:b/>
          <w:bCs/>
          <w:color w:val="000000"/>
          <w:lang w:val="en-US" w:eastAsia="zh-CN"/>
        </w:rPr>
        <w:t>4-1</w:t>
      </w:r>
      <w:r>
        <w:rPr>
          <w:b/>
          <w:bCs/>
          <w:color w:val="000000"/>
        </w:rPr>
        <w:t xml:space="preserve">: </w:t>
      </w:r>
      <w:r>
        <w:rPr>
          <w:rFonts w:hint="eastAsia"/>
          <w:b/>
          <w:bCs/>
          <w:color w:val="000000"/>
          <w:lang w:val="en-US" w:eastAsia="zh-CN"/>
        </w:rPr>
        <w:t xml:space="preserve">If the UE </w:t>
      </w:r>
      <w:r>
        <w:rPr>
          <w:rFonts w:hint="eastAsia"/>
          <w:b/>
          <w:bCs/>
          <w:lang w:val="en-US" w:eastAsia="zh-CN"/>
        </w:rPr>
        <w:t>advances its initial transmission w.r.t PRACH occasion, the TA to be sent in TAC/RAR should be 0.</w:t>
      </w:r>
    </w:p>
    <w:p>
      <w:pPr>
        <w:pStyle w:val="41"/>
        <w:widowControl w:val="0"/>
        <w:numPr>
          <w:ilvl w:val="0"/>
          <w:numId w:val="0"/>
        </w:numPr>
        <w:ind w:leftChars="0"/>
        <w:rPr>
          <w:rFonts w:hint="default" w:eastAsiaTheme="minorEastAsia"/>
          <w:b/>
          <w:bCs/>
          <w:lang w:val="en-US" w:eastAsia="zh-CN"/>
        </w:rPr>
      </w:pPr>
      <w:r>
        <w:rPr>
          <w:b/>
          <w:bCs/>
          <w:color w:val="000000"/>
        </w:rPr>
        <w:t xml:space="preserve">Proposal </w:t>
      </w:r>
      <w:r>
        <w:rPr>
          <w:rFonts w:hint="eastAsia"/>
          <w:b/>
          <w:bCs/>
          <w:color w:val="000000"/>
          <w:lang w:val="en-US" w:eastAsia="zh-CN"/>
        </w:rPr>
        <w:t>4-2</w:t>
      </w:r>
      <w:r>
        <w:rPr>
          <w:b/>
          <w:bCs/>
          <w:color w:val="000000"/>
        </w:rPr>
        <w:t xml:space="preserve">: </w:t>
      </w:r>
      <w:r>
        <w:rPr>
          <w:rFonts w:hint="eastAsia"/>
          <w:b/>
          <w:bCs/>
          <w:color w:val="000000"/>
          <w:lang w:val="en-US" w:eastAsia="zh-CN"/>
        </w:rPr>
        <w:t>TAcommon should not include a timing offset</w:t>
      </w:r>
      <w:r>
        <w:rPr>
          <w:rFonts w:hint="eastAsia"/>
          <w:b/>
          <w:bCs/>
          <w:lang w:val="en-US" w:eastAsia="zh-CN"/>
        </w:rPr>
        <w:t>. This issue can be up to implementation.</w:t>
      </w:r>
    </w:p>
    <w:p>
      <w:pPr>
        <w:rPr>
          <w:rFonts w:hint="eastAsia"/>
          <w:b/>
          <w:bCs/>
          <w:color w:val="000000"/>
          <w:lang w:val="en-US" w:eastAsia="zh-CN"/>
        </w:rPr>
      </w:pPr>
    </w:p>
    <w:p>
      <w:pPr>
        <w:pStyle w:val="41"/>
        <w:widowControl w:val="0"/>
        <w:numPr>
          <w:ilvl w:val="0"/>
          <w:numId w:val="0"/>
        </w:numPr>
        <w:rPr>
          <w:szCs w:val="22"/>
          <w:lang w:val="en-US"/>
        </w:rPr>
      </w:pPr>
    </w:p>
    <w:p>
      <w:pPr>
        <w:pStyle w:val="3"/>
        <w:numPr>
          <w:ilvl w:val="1"/>
          <w:numId w:val="0"/>
        </w:numPr>
        <w:ind w:leftChars="0"/>
        <w:rPr>
          <w:sz w:val="32"/>
          <w:szCs w:val="32"/>
          <w:highlight w:val="none"/>
        </w:rPr>
      </w:pPr>
      <w:bookmarkStart w:id="11" w:name="_Toc85829332"/>
      <w:r>
        <w:rPr>
          <w:sz w:val="32"/>
          <w:szCs w:val="32"/>
          <w:highlight w:val="none"/>
        </w:rPr>
        <w:t>Issue#</w:t>
      </w:r>
      <w:r>
        <w:rPr>
          <w:rFonts w:hint="eastAsia"/>
          <w:sz w:val="32"/>
          <w:szCs w:val="32"/>
          <w:highlight w:val="none"/>
          <w:lang w:val="en-US" w:eastAsia="zh-CN"/>
        </w:rPr>
        <w:t>5</w:t>
      </w:r>
      <w:r>
        <w:rPr>
          <w:sz w:val="32"/>
          <w:szCs w:val="32"/>
          <w:highlight w:val="none"/>
        </w:rPr>
        <w:t xml:space="preserve">: TA </w:t>
      </w:r>
      <w:r>
        <w:rPr>
          <w:sz w:val="32"/>
          <w:szCs w:val="32"/>
          <w:highlight w:val="none"/>
          <w:lang w:val="en-US"/>
        </w:rPr>
        <w:t>update in RRC_CONNECTED state</w:t>
      </w:r>
    </w:p>
    <w:bookmarkEnd w:id="11"/>
    <w:p>
      <w:pPr>
        <w:bidi w:val="0"/>
        <w:rPr>
          <w:rFonts w:hint="eastAsia"/>
          <w:b/>
          <w:bCs/>
          <w:lang w:val="en-US" w:eastAsia="zh-CN"/>
        </w:rPr>
      </w:pPr>
      <w:bookmarkStart w:id="12" w:name="_Toc85829336"/>
    </w:p>
    <w:p>
      <w:pPr>
        <w:bidi w:val="0"/>
        <w:rPr>
          <w:b/>
          <w:bCs/>
        </w:rPr>
      </w:pPr>
      <w:r>
        <w:rPr>
          <w:rFonts w:hint="eastAsia"/>
          <w:b/>
          <w:bCs/>
          <w:lang w:val="en-US" w:eastAsia="zh-CN"/>
        </w:rPr>
        <w:t>On c</w:t>
      </w:r>
      <w:r>
        <w:rPr>
          <w:b/>
          <w:bCs/>
        </w:rPr>
        <w:t>ombination of open and closed loop TA control</w:t>
      </w:r>
      <w:bookmarkEnd w:id="12"/>
    </w:p>
    <w:p>
      <w:pPr>
        <w:spacing w:after="240" w:afterLines="100"/>
        <w:jc w:val="both"/>
        <w:rPr>
          <w:rFonts w:hint="eastAsia"/>
          <w:szCs w:val="22"/>
          <w:lang w:val="en-US" w:eastAsia="zh-CN"/>
        </w:rPr>
      </w:pPr>
      <w:r>
        <w:rPr>
          <w:rFonts w:hint="eastAsia"/>
          <w:szCs w:val="22"/>
          <w:lang w:val="en-US" w:eastAsia="zh-CN"/>
        </w:rPr>
        <w:t xml:space="preserve">In #106bis-e meeting, </w:t>
      </w:r>
      <w:r>
        <w:t xml:space="preserve">RAN1 discussed the following solutions </w:t>
      </w:r>
      <w:r>
        <w:rPr>
          <w:b/>
        </w:rPr>
        <w:t>to avoid the TA jump caused by double correction</w:t>
      </w:r>
      <w:r>
        <w:t>:</w:t>
      </w:r>
    </w:p>
    <w:tbl>
      <w:tblPr>
        <w:tblStyle w:val="30"/>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9" w:hRule="atLeast"/>
        </w:trPr>
        <w:tc>
          <w:tcPr>
            <w:tcW w:w="9638" w:type="dxa"/>
          </w:tcPr>
          <w:p>
            <w:pPr>
              <w:widowControl w:val="0"/>
              <w:numPr>
                <w:ilvl w:val="0"/>
                <w:numId w:val="14"/>
              </w:numPr>
              <w:spacing w:after="240" w:afterLines="100"/>
              <w:ind w:left="360"/>
              <w:jc w:val="both"/>
            </w:pPr>
            <w:r>
              <w:rPr>
                <w:b/>
                <w:u w:val="single"/>
              </w:rPr>
              <w:t>Solution 1:</w:t>
            </w:r>
            <w:r>
              <w:t xml:space="preserve">: </w:t>
            </w:r>
          </w:p>
          <w:p>
            <w:pPr>
              <w:widowControl w:val="0"/>
              <w:numPr>
                <w:ilvl w:val="1"/>
                <w:numId w:val="15"/>
              </w:numPr>
              <w:spacing w:after="100" w:afterAutospacing="1"/>
              <w:ind w:left="1080"/>
              <w:jc w:val="both"/>
              <w:rPr>
                <w:bCs/>
              </w:rPr>
            </w:pPr>
            <w:r>
              <w:rPr>
                <w:bCs/>
              </w:rPr>
              <w:t>UE subtracts the difference between new value and old value N</w:t>
            </w:r>
            <w:r>
              <w:rPr>
                <w:bCs/>
                <w:vertAlign w:val="subscript"/>
              </w:rPr>
              <w:t>TA_UE-specific,new</w:t>
            </w:r>
            <w:r>
              <w:rPr>
                <w:bCs/>
              </w:rPr>
              <w:t xml:space="preserve"> from the accumulative closed loop TA </w:t>
            </w:r>
            <m:oMath>
              <m:sSub>
                <m:sSubPr>
                  <m:ctrlPr>
                    <w:rPr>
                      <w:rFonts w:ascii="Cambria Math" w:hAnsi="Cambria Math" w:eastAsia="Calibri"/>
                      <w:b/>
                      <w:bCs/>
                      <w:szCs w:val="22"/>
                      <w:lang w:eastAsia="ko-KR"/>
                    </w:rPr>
                  </m:ctrlPr>
                </m:sSubPr>
                <m:e>
                  <m:r>
                    <m:rPr>
                      <m:sty m:val="b"/>
                    </m:rPr>
                    <w:rPr>
                      <w:rFonts w:ascii="Cambria Math" w:hAnsi="Cambria Math" w:eastAsia="Calibri"/>
                      <w:szCs w:val="22"/>
                      <w:lang w:eastAsia="ko-KR"/>
                    </w:rPr>
                    <m:t>N</m:t>
                  </m:r>
                  <m:ctrlPr>
                    <w:rPr>
                      <w:rFonts w:ascii="Cambria Math" w:hAnsi="Cambria Math" w:eastAsia="Calibri"/>
                      <w:b/>
                      <w:bCs/>
                      <w:szCs w:val="22"/>
                      <w:lang w:eastAsia="ko-KR"/>
                    </w:rPr>
                  </m:ctrlPr>
                </m:e>
                <m:sub>
                  <m:r>
                    <m:rPr>
                      <m:sty m:val="b"/>
                    </m:rPr>
                    <w:rPr>
                      <w:rFonts w:ascii="Cambria Math" w:hAnsi="Cambria Math" w:eastAsia="Calibri"/>
                      <w:szCs w:val="22"/>
                      <w:lang w:eastAsia="ko-KR"/>
                    </w:rPr>
                    <m:t>TA</m:t>
                  </m:r>
                  <m:ctrlPr>
                    <w:rPr>
                      <w:rFonts w:ascii="Cambria Math" w:hAnsi="Cambria Math" w:eastAsia="Calibri"/>
                      <w:b/>
                      <w:bCs/>
                      <w:szCs w:val="22"/>
                      <w:lang w:eastAsia="ko-KR"/>
                    </w:rPr>
                  </m:ctrlPr>
                </m:sub>
              </m:sSub>
            </m:oMath>
          </w:p>
          <w:p>
            <w:pPr>
              <w:pStyle w:val="41"/>
              <w:widowControl w:val="0"/>
              <w:numPr>
                <w:ilvl w:val="2"/>
                <w:numId w:val="15"/>
              </w:numPr>
              <w:spacing w:after="100" w:afterAutospacing="1"/>
              <w:ind w:left="1800"/>
              <w:rPr>
                <w:rFonts w:eastAsia="宋体"/>
                <w:bCs/>
              </w:rPr>
            </w:pPr>
            <m:oMath>
              <m:sSub>
                <m:sSubPr>
                  <m:ctrlPr>
                    <w:rPr>
                      <w:rFonts w:ascii="Cambria Math" w:hAnsi="Cambria Math" w:eastAsia="Calibri"/>
                      <w:b/>
                      <w:bCs/>
                      <w:szCs w:val="22"/>
                      <w:lang w:eastAsia="ko-KR"/>
                    </w:rPr>
                  </m:ctrlPr>
                </m:sSubPr>
                <m:e>
                  <m:r>
                    <m:rPr>
                      <m:sty m:val="b"/>
                    </m:rPr>
                    <w:rPr>
                      <w:rFonts w:ascii="Cambria Math" w:hAnsi="Cambria Math" w:eastAsia="Calibri"/>
                      <w:szCs w:val="22"/>
                      <w:lang w:eastAsia="ko-KR"/>
                    </w:rPr>
                    <m:t>N</m:t>
                  </m:r>
                  <m:ctrlPr>
                    <w:rPr>
                      <w:rFonts w:ascii="Cambria Math" w:hAnsi="Cambria Math" w:eastAsia="Calibri"/>
                      <w:b/>
                      <w:bCs/>
                      <w:szCs w:val="22"/>
                      <w:lang w:eastAsia="ko-KR"/>
                    </w:rPr>
                  </m:ctrlPr>
                </m:e>
                <m:sub>
                  <m:r>
                    <m:rPr>
                      <m:sty m:val="b"/>
                    </m:rPr>
                    <w:rPr>
                      <w:rFonts w:ascii="Cambria Math" w:hAnsi="Cambria Math" w:eastAsia="Calibri"/>
                      <w:szCs w:val="22"/>
                      <w:lang w:eastAsia="ko-KR"/>
                    </w:rPr>
                    <m:t>TA</m:t>
                  </m:r>
                  <m:ctrlPr>
                    <w:rPr>
                      <w:rFonts w:ascii="Cambria Math" w:hAnsi="Cambria Math" w:eastAsia="Calibri"/>
                      <w:b/>
                      <w:bCs/>
                      <w:szCs w:val="22"/>
                      <w:lang w:eastAsia="ko-KR"/>
                    </w:rPr>
                  </m:ctrlPr>
                </m:sub>
              </m:sSub>
            </m:oMath>
            <w:r>
              <w:rPr>
                <w:rFonts w:eastAsia="宋体"/>
                <w:bCs/>
              </w:rPr>
              <w:t xml:space="preserve">  –( NTA_UE-specific,new – NTA_UE-specific,old)</w:t>
            </w:r>
          </w:p>
          <w:p>
            <w:pPr>
              <w:widowControl w:val="0"/>
              <w:numPr>
                <w:ilvl w:val="1"/>
                <w:numId w:val="15"/>
              </w:numPr>
              <w:spacing w:after="100" w:afterAutospacing="1"/>
              <w:ind w:left="1080"/>
              <w:jc w:val="both"/>
              <w:rPr>
                <w:bCs/>
              </w:rPr>
            </w:pPr>
            <w:r>
              <w:rPr>
                <w:bCs/>
              </w:rPr>
              <w:t>UE subtracts the difference between common TA derived based on new parameters N</w:t>
            </w:r>
            <w:r>
              <w:rPr>
                <w:bCs/>
                <w:vertAlign w:val="subscript"/>
              </w:rPr>
              <w:t>TA,Common,new</w:t>
            </w:r>
            <w:r>
              <w:rPr>
                <w:bCs/>
              </w:rPr>
              <w:t xml:space="preserve">  and the value based on old parameters N</w:t>
            </w:r>
            <w:r>
              <w:rPr>
                <w:bCs/>
                <w:vertAlign w:val="subscript"/>
              </w:rPr>
              <w:t>TA,Common,old</w:t>
            </w:r>
            <w:r>
              <w:rPr>
                <w:bCs/>
              </w:rPr>
              <w:t xml:space="preserve">  from the accumulative closed loop TA  (</w:t>
            </w:r>
            <m:oMath>
              <m:sSub>
                <m:sSubPr>
                  <m:ctrlPr>
                    <w:rPr>
                      <w:rFonts w:ascii="Cambria Math" w:hAnsi="Cambria Math" w:eastAsia="Calibri"/>
                      <w:b/>
                      <w:bCs/>
                      <w:szCs w:val="22"/>
                      <w:lang w:eastAsia="ko-KR"/>
                    </w:rPr>
                  </m:ctrlPr>
                </m:sSubPr>
                <m:e>
                  <m:r>
                    <m:rPr>
                      <m:sty m:val="b"/>
                    </m:rPr>
                    <w:rPr>
                      <w:rFonts w:ascii="Cambria Math" w:hAnsi="Cambria Math" w:eastAsia="Calibri"/>
                      <w:szCs w:val="22"/>
                      <w:lang w:eastAsia="ko-KR"/>
                    </w:rPr>
                    <m:t>N</m:t>
                  </m:r>
                  <m:ctrlPr>
                    <w:rPr>
                      <w:rFonts w:ascii="Cambria Math" w:hAnsi="Cambria Math" w:eastAsia="Calibri"/>
                      <w:b/>
                      <w:bCs/>
                      <w:szCs w:val="22"/>
                      <w:lang w:eastAsia="ko-KR"/>
                    </w:rPr>
                  </m:ctrlPr>
                </m:e>
                <m:sub>
                  <m:r>
                    <m:rPr>
                      <m:sty m:val="b"/>
                    </m:rPr>
                    <w:rPr>
                      <w:rFonts w:ascii="Cambria Math" w:hAnsi="Cambria Math" w:eastAsia="Calibri"/>
                      <w:szCs w:val="22"/>
                      <w:lang w:eastAsia="ko-KR"/>
                    </w:rPr>
                    <m:t>TA</m:t>
                  </m:r>
                  <m:ctrlPr>
                    <w:rPr>
                      <w:rFonts w:ascii="Cambria Math" w:hAnsi="Cambria Math" w:eastAsia="Calibri"/>
                      <w:b/>
                      <w:bCs/>
                      <w:szCs w:val="22"/>
                      <w:lang w:eastAsia="ko-KR"/>
                    </w:rPr>
                  </m:ctrlPr>
                </m:sub>
              </m:sSub>
            </m:oMath>
            <w:r>
              <w:rPr>
                <w:bCs/>
              </w:rPr>
              <w:t>).</w:t>
            </w:r>
          </w:p>
          <w:p>
            <w:pPr>
              <w:widowControl w:val="0"/>
              <w:numPr>
                <w:ilvl w:val="2"/>
                <w:numId w:val="15"/>
              </w:numPr>
              <w:spacing w:after="100" w:afterAutospacing="1"/>
              <w:ind w:left="1800"/>
              <w:jc w:val="both"/>
              <w:rPr>
                <w:bCs/>
              </w:rPr>
            </w:pPr>
            <m:oMath>
              <m:sSub>
                <m:sSubPr>
                  <m:ctrlPr>
                    <w:rPr>
                      <w:rFonts w:ascii="Cambria Math" w:hAnsi="Cambria Math" w:eastAsia="Calibri"/>
                      <w:b/>
                      <w:bCs/>
                      <w:szCs w:val="22"/>
                      <w:lang w:eastAsia="ko-KR"/>
                    </w:rPr>
                  </m:ctrlPr>
                </m:sSubPr>
                <m:e>
                  <m:r>
                    <m:rPr>
                      <m:sty m:val="b"/>
                    </m:rPr>
                    <w:rPr>
                      <w:rFonts w:ascii="Cambria Math" w:hAnsi="Cambria Math" w:eastAsia="Calibri"/>
                      <w:szCs w:val="22"/>
                      <w:lang w:eastAsia="ko-KR"/>
                    </w:rPr>
                    <m:t>N</m:t>
                  </m:r>
                  <m:ctrlPr>
                    <w:rPr>
                      <w:rFonts w:ascii="Cambria Math" w:hAnsi="Cambria Math" w:eastAsia="Calibri"/>
                      <w:b/>
                      <w:bCs/>
                      <w:szCs w:val="22"/>
                      <w:lang w:eastAsia="ko-KR"/>
                    </w:rPr>
                  </m:ctrlPr>
                </m:e>
                <m:sub>
                  <m:r>
                    <m:rPr>
                      <m:sty m:val="b"/>
                    </m:rPr>
                    <w:rPr>
                      <w:rFonts w:ascii="Cambria Math" w:hAnsi="Cambria Math" w:eastAsia="Calibri"/>
                      <w:szCs w:val="22"/>
                      <w:lang w:eastAsia="ko-KR"/>
                    </w:rPr>
                    <m:t>TA</m:t>
                  </m:r>
                  <m:ctrlPr>
                    <w:rPr>
                      <w:rFonts w:ascii="Cambria Math" w:hAnsi="Cambria Math" w:eastAsia="Calibri"/>
                      <w:b/>
                      <w:bCs/>
                      <w:szCs w:val="22"/>
                      <w:lang w:eastAsia="ko-KR"/>
                    </w:rPr>
                  </m:ctrlPr>
                </m:sub>
              </m:sSub>
            </m:oMath>
            <w:r>
              <w:rPr>
                <w:bCs/>
              </w:rPr>
              <w:t xml:space="preserve">  –( N</w:t>
            </w:r>
            <w:r>
              <w:rPr>
                <w:bCs/>
                <w:vertAlign w:val="subscript"/>
              </w:rPr>
              <w:t>TA,Common,new</w:t>
            </w:r>
            <w:r>
              <w:rPr>
                <w:bCs/>
              </w:rPr>
              <w:t xml:space="preserve">  - N</w:t>
            </w:r>
            <w:r>
              <w:rPr>
                <w:bCs/>
                <w:vertAlign w:val="subscript"/>
              </w:rPr>
              <w:t>TA,Common,old</w:t>
            </w:r>
            <w:r>
              <w:rPr>
                <w:bCs/>
              </w:rPr>
              <w:t xml:space="preserve"> )</w:t>
            </w:r>
          </w:p>
          <w:p>
            <w:pPr>
              <w:widowControl w:val="0"/>
              <w:numPr>
                <w:ilvl w:val="0"/>
                <w:numId w:val="15"/>
              </w:numPr>
              <w:spacing w:after="240" w:afterLines="100"/>
              <w:ind w:left="360"/>
              <w:jc w:val="both"/>
            </w:pPr>
            <w:r>
              <w:rPr>
                <w:b/>
                <w:u w:val="single"/>
              </w:rPr>
              <w:t>Solution 2</w:t>
            </w:r>
            <w:r>
              <w:t xml:space="preserve">:  </w:t>
            </w:r>
          </w:p>
          <w:p>
            <w:pPr>
              <w:pStyle w:val="41"/>
              <w:widowControl w:val="0"/>
              <w:numPr>
                <w:ilvl w:val="1"/>
                <w:numId w:val="15"/>
              </w:numPr>
              <w:spacing w:after="0"/>
              <w:ind w:left="1080"/>
            </w:pPr>
            <w:r>
              <w:t>Cap max a</w:t>
            </w:r>
            <w:r>
              <w:rPr>
                <w:lang w:val="fr-FR"/>
              </w:rPr>
              <w:t>d</w:t>
            </w:r>
            <w:r>
              <w:t xml:space="preserve">justment: </w:t>
            </w:r>
          </w:p>
          <w:p>
            <w:pPr>
              <w:pStyle w:val="41"/>
              <w:widowControl w:val="0"/>
              <w:numPr>
                <w:ilvl w:val="2"/>
                <w:numId w:val="15"/>
              </w:numPr>
              <w:spacing w:after="0"/>
              <w:ind w:left="1800"/>
            </w:pPr>
            <w:r>
              <w:t>if |TA_ue(GNSS_f, sat_current)-TA_ue(GNSS_c, sat_current)|&gt;x1</w:t>
            </w:r>
          </w:p>
          <w:p>
            <w:pPr>
              <w:pStyle w:val="41"/>
              <w:widowControl w:val="0"/>
              <w:numPr>
                <w:ilvl w:val="3"/>
                <w:numId w:val="15"/>
              </w:numPr>
              <w:spacing w:after="0"/>
              <w:ind w:left="2520"/>
            </w:pPr>
            <w:r>
              <w:t>|TA_ue_applied-TA_ue(GNSS_c, sat_current)|&lt;x2</w:t>
            </w:r>
          </w:p>
          <w:p>
            <w:pPr>
              <w:pStyle w:val="41"/>
              <w:widowControl w:val="0"/>
              <w:numPr>
                <w:ilvl w:val="3"/>
                <w:numId w:val="15"/>
              </w:numPr>
              <w:spacing w:after="0"/>
              <w:ind w:left="2520"/>
            </w:pPr>
            <w:r>
              <w:t>minimum aggregate adjustement rate shall be x3 per T1 seconds</w:t>
            </w:r>
          </w:p>
          <w:p>
            <w:pPr>
              <w:pStyle w:val="41"/>
              <w:widowControl w:val="0"/>
              <w:numPr>
                <w:ilvl w:val="3"/>
                <w:numId w:val="15"/>
              </w:numPr>
              <w:spacing w:after="0"/>
              <w:ind w:left="2520"/>
            </w:pPr>
            <w:r>
              <w:t>maximum aggregate adjustment rate shall be x4 per T2 seconds</w:t>
            </w:r>
          </w:p>
          <w:p>
            <w:pPr>
              <w:pStyle w:val="41"/>
              <w:widowControl w:val="0"/>
              <w:numPr>
                <w:ilvl w:val="3"/>
                <w:numId w:val="15"/>
              </w:numPr>
              <w:spacing w:after="0"/>
              <w:ind w:left="2520"/>
            </w:pPr>
            <w:r>
              <w:rPr>
                <w:rFonts w:eastAsia="Calibri"/>
                <w:bCs/>
                <w:iCs/>
                <w:color w:val="000000"/>
                <w:lang w:eastAsia="ko-KR"/>
              </w:rPr>
              <w:t>FFS the values of x1, x2, x3, x4, T1 and T2.</w:t>
            </w:r>
          </w:p>
          <w:p>
            <w:pPr>
              <w:pStyle w:val="41"/>
              <w:widowControl w:val="0"/>
              <w:ind w:left="1440"/>
            </w:pPr>
            <w:r>
              <w:rPr>
                <w:rFonts w:eastAsia="宋体"/>
                <w:bCs/>
                <w:iCs/>
                <w:color w:val="000000"/>
                <w:lang w:eastAsia="ko-KR"/>
              </w:rPr>
              <w:t>Where GNSS_f is the most recent GNSS fix, GNSS_c is the UE location corresponding to  the last applied UE specific TA, and sat_current is the current satellite location,</w:t>
            </w:r>
          </w:p>
          <w:p>
            <w:pPr>
              <w:widowControl w:val="0"/>
              <w:numPr>
                <w:ilvl w:val="0"/>
                <w:numId w:val="15"/>
              </w:numPr>
              <w:spacing w:after="240" w:afterLines="100"/>
              <w:ind w:left="360"/>
              <w:jc w:val="both"/>
            </w:pPr>
            <w:r>
              <w:rPr>
                <w:b/>
                <w:u w:val="single"/>
              </w:rPr>
              <w:t>Solution 3</w:t>
            </w:r>
            <w:r>
              <w:t xml:space="preserve">: </w:t>
            </w:r>
          </w:p>
          <w:p>
            <w:pPr>
              <w:pStyle w:val="41"/>
              <w:widowControl w:val="0"/>
              <w:numPr>
                <w:ilvl w:val="1"/>
                <w:numId w:val="15"/>
              </w:numPr>
              <w:spacing w:after="0"/>
              <w:ind w:left="1080"/>
            </w:pPr>
            <w:r>
              <w:rPr>
                <w:lang w:val="en-GB"/>
              </w:rPr>
              <w:t>I</w:t>
            </w:r>
            <w:r>
              <w:t>ntroduce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pPr>
              <w:widowControl w:val="0"/>
              <w:numPr>
                <w:ilvl w:val="0"/>
                <w:numId w:val="15"/>
              </w:numPr>
              <w:spacing w:after="240" w:afterLines="100"/>
              <w:ind w:left="360"/>
              <w:jc w:val="both"/>
            </w:pPr>
            <w:r>
              <w:rPr>
                <w:b/>
                <w:u w:val="single"/>
              </w:rPr>
              <w:t>Solution 4</w:t>
            </w:r>
            <w:r>
              <w:t xml:space="preserve">: </w:t>
            </w:r>
          </w:p>
          <w:p>
            <w:pPr>
              <w:widowControl w:val="0"/>
              <w:numPr>
                <w:ilvl w:val="1"/>
                <w:numId w:val="15"/>
              </w:numPr>
              <w:spacing w:after="240" w:afterLines="100"/>
              <w:ind w:left="1080"/>
              <w:jc w:val="both"/>
            </w:pPr>
            <w:r>
              <w:t>Revise the common TA update equation into gradual update equation: N</w:t>
            </w:r>
            <w:r>
              <w:rPr>
                <w:vertAlign w:val="subscript"/>
              </w:rPr>
              <w:t>TA,common</w:t>
            </w:r>
            <w:r>
              <w:t xml:space="preserve"> = N</w:t>
            </w:r>
            <w:r>
              <w:rPr>
                <w:vertAlign w:val="subscript"/>
              </w:rPr>
              <w:t>TA, common_old</w:t>
            </w:r>
            <w:r>
              <w:t xml:space="preserve"> + (N</w:t>
            </w:r>
            <w:r>
              <w:rPr>
                <w:vertAlign w:val="subscript"/>
              </w:rPr>
              <w:t>TA, common_new</w:t>
            </w:r>
            <w:r>
              <w:t xml:space="preserve"> – N</w:t>
            </w:r>
            <w:r>
              <w:rPr>
                <w:vertAlign w:val="subscript"/>
              </w:rPr>
              <w:t>TA,common_old</w:t>
            </w:r>
            <w:r>
              <w:t>)/N</w:t>
            </w:r>
          </w:p>
          <w:p>
            <w:pPr>
              <w:widowControl w:val="0"/>
              <w:numPr>
                <w:ilvl w:val="0"/>
                <w:numId w:val="15"/>
              </w:numPr>
              <w:spacing w:after="240" w:afterLines="100"/>
              <w:ind w:left="360"/>
              <w:jc w:val="both"/>
              <w:rPr>
                <w:b/>
                <w:u w:val="single"/>
              </w:rPr>
            </w:pPr>
            <w:r>
              <w:rPr>
                <w:b/>
                <w:u w:val="single"/>
              </w:rPr>
              <w:t xml:space="preserve">Solution 5: </w:t>
            </w:r>
          </w:p>
          <w:p>
            <w:pPr>
              <w:widowControl w:val="0"/>
              <w:numPr>
                <w:ilvl w:val="1"/>
                <w:numId w:val="15"/>
              </w:numPr>
              <w:spacing w:after="240" w:afterLines="100"/>
              <w:jc w:val="both"/>
              <w:rPr>
                <w:b/>
                <w:u w:val="single"/>
              </w:rPr>
            </w:pPr>
            <w:r>
              <w:t xml:space="preserve">The accumulative closed-loop TA is reset to 0 whenever a new GNSS fix is applied in the calculation of  </w:t>
            </w:r>
            <m:oMath>
              <m:sSub>
                <m:sSubPr>
                  <m:ctrlPr>
                    <w:rPr>
                      <w:rFonts w:ascii="Cambria Math" w:hAnsi="Cambria Math"/>
                      <w:b/>
                    </w:rPr>
                  </m:ctrlPr>
                </m:sSubPr>
                <m:e>
                  <m:r>
                    <m:rPr>
                      <m:sty m:val="b"/>
                    </m:rPr>
                    <w:rPr>
                      <w:rFonts w:ascii="Cambria Math" w:hAnsi="Cambria Math"/>
                    </w:rPr>
                    <m:t>N</m:t>
                  </m:r>
                  <m:ctrlPr>
                    <w:rPr>
                      <w:rFonts w:ascii="Cambria Math" w:hAnsi="Cambria Math"/>
                      <w:b/>
                    </w:rPr>
                  </m:ctrlPr>
                </m:e>
                <m:sub>
                  <m:r>
                    <m:rPr>
                      <m:sty m:val="b"/>
                    </m:rPr>
                    <w:rPr>
                      <w:rFonts w:ascii="Cambria Math" w:hAnsi="Cambria Math"/>
                    </w:rPr>
                    <m:t>TA,UE−specific</m:t>
                  </m:r>
                  <m:ctrlPr>
                    <w:rPr>
                      <w:rFonts w:ascii="Cambria Math" w:hAnsi="Cambria Math"/>
                      <w:b/>
                    </w:rPr>
                  </m:ctrlPr>
                </m:sub>
              </m:sSub>
            </m:oMath>
            <w:r>
              <w:t>.</w:t>
            </w:r>
          </w:p>
          <w:p>
            <w:pPr>
              <w:widowControl w:val="0"/>
              <w:numPr>
                <w:ilvl w:val="0"/>
                <w:numId w:val="15"/>
              </w:numPr>
              <w:spacing w:after="240" w:afterLines="100"/>
              <w:ind w:left="360"/>
              <w:jc w:val="both"/>
            </w:pPr>
            <w:r>
              <w:rPr>
                <w:b/>
                <w:u w:val="single"/>
              </w:rPr>
              <w:t>Solution 6</w:t>
            </w:r>
            <w:r>
              <w:t xml:space="preserve">: </w:t>
            </w:r>
          </w:p>
          <w:p>
            <w:pPr>
              <w:widowControl w:val="0"/>
              <w:numPr>
                <w:ilvl w:val="1"/>
                <w:numId w:val="15"/>
              </w:numPr>
              <w:spacing w:after="240" w:afterLines="100"/>
              <w:ind w:left="1080"/>
              <w:jc w:val="both"/>
            </w:pPr>
            <w:r>
              <w:t>How closed-loop TA is determined when N</w:t>
            </w:r>
            <w:r>
              <w:rPr>
                <w:vertAlign w:val="subscript"/>
              </w:rPr>
              <w:t>TA,UE-specific</w:t>
            </w:r>
            <w:r>
              <w:t xml:space="preserve">  or </w:t>
            </w:r>
            <w:r>
              <w:rPr>
                <w:bCs/>
              </w:rPr>
              <w:t>N</w:t>
            </w:r>
            <w:r>
              <w:rPr>
                <w:bCs/>
                <w:vertAlign w:val="subscript"/>
              </w:rPr>
              <w:t>TA,common</w:t>
            </w:r>
            <w:r>
              <w:rPr>
                <w:b/>
                <w:bCs/>
              </w:rPr>
              <w:t xml:space="preserve"> </w:t>
            </w:r>
            <w:r>
              <w:rPr>
                <w:bCs/>
              </w:rPr>
              <w:t>are</w:t>
            </w:r>
            <w:r>
              <w:t xml:space="preserve"> autonomously updated in RRC Connected state can be up to UE implementation as long as the UL synchronization requirement is fulfilled</w:t>
            </w:r>
          </w:p>
          <w:p>
            <w:pPr>
              <w:widowControl w:val="0"/>
              <w:rPr>
                <w:rFonts w:eastAsia="MS Mincho"/>
                <w:b/>
                <w:bCs/>
              </w:rPr>
            </w:pPr>
          </w:p>
        </w:tc>
      </w:tr>
    </w:tbl>
    <w:p>
      <w:pPr>
        <w:pStyle w:val="33"/>
        <w:numPr>
          <w:ilvl w:val="0"/>
          <w:numId w:val="0"/>
        </w:numPr>
        <w:rPr>
          <w:rFonts w:cs="v4.2.0"/>
          <w:lang w:eastAsia="zh-CN"/>
        </w:rPr>
      </w:pPr>
    </w:p>
    <w:p>
      <w:pPr>
        <w:pStyle w:val="33"/>
        <w:numPr>
          <w:ilvl w:val="0"/>
          <w:numId w:val="0"/>
        </w:numPr>
        <w:rPr>
          <w:rFonts w:cs="v4.2.0"/>
          <w:lang w:eastAsia="zh-CN"/>
        </w:rPr>
      </w:pPr>
    </w:p>
    <w:p>
      <w:pPr>
        <w:pStyle w:val="33"/>
        <w:numPr>
          <w:ilvl w:val="0"/>
          <w:numId w:val="0"/>
        </w:numPr>
        <w:rPr>
          <w:rFonts w:hint="default" w:cs="v4.2.0"/>
          <w:lang w:val="en-US" w:eastAsia="zh-CN"/>
        </w:rPr>
      </w:pPr>
      <w:r>
        <w:rPr>
          <w:rFonts w:hint="eastAsia" w:cs="v4.2.0"/>
          <w:lang w:val="en-US" w:eastAsia="zh-CN"/>
        </w:rPr>
        <w:t xml:space="preserve">The issue of </w:t>
      </w:r>
      <w:r>
        <w:rPr>
          <w:rFonts w:hint="default" w:cs="v4.2.0"/>
          <w:lang w:val="en-US" w:eastAsia="zh-CN"/>
        </w:rPr>
        <w:t>“</w:t>
      </w:r>
      <w:r>
        <w:rPr>
          <w:rFonts w:hint="eastAsia" w:cs="v4.2.0"/>
          <w:lang w:val="en-US" w:eastAsia="zh-CN"/>
        </w:rPr>
        <w:t>Double correction</w:t>
      </w:r>
      <w:r>
        <w:rPr>
          <w:rFonts w:hint="default" w:cs="v4.2.0"/>
          <w:lang w:val="en-US" w:eastAsia="zh-CN"/>
        </w:rPr>
        <w:t>”</w:t>
      </w:r>
      <w:r>
        <w:rPr>
          <w:rFonts w:hint="eastAsia" w:cs="v4.2.0"/>
          <w:lang w:val="en-US" w:eastAsia="zh-CN"/>
        </w:rPr>
        <w:t xml:space="preserve"> is illustrated in Figure 1. In the figure, </w:t>
      </w:r>
      <w:r>
        <w:rPr>
          <w:rFonts w:hint="default" w:cs="v4.2.0"/>
          <w:lang w:val="en-US" w:eastAsia="zh-CN"/>
        </w:rPr>
        <w:t>‘</w:t>
      </w:r>
      <w:r>
        <w:rPr>
          <w:rFonts w:hint="eastAsia" w:cs="v4.2.0"/>
          <w:lang w:val="en-US" w:eastAsia="zh-CN"/>
        </w:rPr>
        <w:t>Target TA</w:t>
      </w:r>
      <w:r>
        <w:rPr>
          <w:rFonts w:hint="default" w:cs="v4.2.0"/>
          <w:lang w:val="en-US" w:eastAsia="zh-CN"/>
        </w:rPr>
        <w:t>’</w:t>
      </w:r>
      <w:r>
        <w:rPr>
          <w:rFonts w:hint="eastAsia" w:cs="v4.2.0"/>
          <w:lang w:val="en-US" w:eastAsia="zh-CN"/>
        </w:rPr>
        <w:t xml:space="preserve"> is the RTT between the UE and the reference point.  It is the perfect TA for the UE compensation and can be taken as the target of the total TA adjustment. The total TA is the sum of the open-loop TA and the close-loop TA. The open-loop TA includes the UE-specific TA part and the common TA part which can be derived from formulas with the parameters such as GNSS information, satellite ephemeris, and Common TA parameters. The difference between open-loop TA and the target TA increases with time due to the aging of parameters. Close-loop TA can help to reduce this difference according to gNB feedback (TA command). As shown in Figure 1, at time t1, summing up open-loop TA and close-loop TA, the total TA is closer to the target TA than the open-loop TA itself. At time t2, close-loop TA parameters are updated, and open-loop TA become very close to the target TA. If the close-loop TA is not reset to 0 after the parameter update, the total TA is worse than the open-loop TA itself due to double correction.</w:t>
      </w:r>
    </w:p>
    <w:p>
      <w:pPr>
        <w:pStyle w:val="33"/>
        <w:numPr>
          <w:ilvl w:val="0"/>
          <w:numId w:val="0"/>
        </w:numPr>
        <w:jc w:val="left"/>
      </w:pPr>
    </w:p>
    <w:p>
      <w:pPr>
        <w:pStyle w:val="33"/>
        <w:numPr>
          <w:ilvl w:val="0"/>
          <w:numId w:val="0"/>
        </w:numPr>
        <w:jc w:val="left"/>
      </w:pPr>
    </w:p>
    <w:p>
      <w:pPr>
        <w:pStyle w:val="33"/>
        <w:numPr>
          <w:ilvl w:val="0"/>
          <w:numId w:val="0"/>
        </w:numPr>
        <w:jc w:val="center"/>
        <w:rPr>
          <w:rFonts w:cs="v4.2.0"/>
          <w:lang w:eastAsia="zh-CN"/>
        </w:rPr>
      </w:pPr>
      <w:r>
        <w:drawing>
          <wp:inline distT="0" distB="0" distL="114300" distR="114300">
            <wp:extent cx="5105400" cy="2894330"/>
            <wp:effectExtent l="0" t="0" r="0" b="1270"/>
            <wp:docPr id="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9"/>
                    <pic:cNvPicPr>
                      <a:picLocks noChangeAspect="1"/>
                    </pic:cNvPicPr>
                  </pic:nvPicPr>
                  <pic:blipFill>
                    <a:blip r:embed="rId5"/>
                    <a:stretch>
                      <a:fillRect/>
                    </a:stretch>
                  </pic:blipFill>
                  <pic:spPr>
                    <a:xfrm>
                      <a:off x="0" y="0"/>
                      <a:ext cx="5105400" cy="2894330"/>
                    </a:xfrm>
                    <a:prstGeom prst="rect">
                      <a:avLst/>
                    </a:prstGeom>
                    <a:noFill/>
                    <a:ln>
                      <a:noFill/>
                    </a:ln>
                  </pic:spPr>
                </pic:pic>
              </a:graphicData>
            </a:graphic>
          </wp:inline>
        </w:drawing>
      </w:r>
    </w:p>
    <w:p>
      <w:pPr>
        <w:pStyle w:val="33"/>
        <w:numPr>
          <w:ilvl w:val="0"/>
          <w:numId w:val="0"/>
        </w:numPr>
        <w:rPr>
          <w:rFonts w:cs="v4.2.0"/>
          <w:lang w:eastAsia="zh-CN"/>
        </w:rPr>
      </w:pPr>
    </w:p>
    <w:p>
      <w:pPr>
        <w:pStyle w:val="33"/>
        <w:numPr>
          <w:ilvl w:val="0"/>
          <w:numId w:val="0"/>
        </w:numPr>
        <w:rPr>
          <w:rFonts w:hint="default" w:cs="v4.2.0"/>
          <w:lang w:val="en-US" w:eastAsia="zh-CN"/>
        </w:rPr>
      </w:pPr>
      <w:r>
        <w:rPr>
          <w:rFonts w:hint="eastAsia" w:cs="v4.2.0"/>
          <w:lang w:val="en-US" w:eastAsia="zh-CN"/>
        </w:rPr>
        <w:t>If the close-loop TA is reset to 0 when the open-loop parameters is updated,  the issue of double correction can be avoided, as illustrated in Figure 2.</w:t>
      </w:r>
    </w:p>
    <w:p>
      <w:pPr>
        <w:pStyle w:val="33"/>
        <w:numPr>
          <w:ilvl w:val="0"/>
          <w:numId w:val="0"/>
        </w:numPr>
        <w:rPr>
          <w:rFonts w:cs="v4.2.0"/>
          <w:lang w:eastAsia="zh-CN"/>
        </w:rPr>
      </w:pPr>
    </w:p>
    <w:p>
      <w:pPr>
        <w:pStyle w:val="33"/>
        <w:numPr>
          <w:ilvl w:val="0"/>
          <w:numId w:val="0"/>
        </w:numPr>
        <w:jc w:val="center"/>
        <w:rPr>
          <w:rFonts w:cs="v4.2.0"/>
          <w:lang w:eastAsia="zh-CN"/>
        </w:rPr>
      </w:pPr>
      <w:r>
        <w:drawing>
          <wp:inline distT="0" distB="0" distL="114300" distR="114300">
            <wp:extent cx="4919980" cy="2955925"/>
            <wp:effectExtent l="0" t="0" r="2540" b="635"/>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6"/>
                    <a:stretch>
                      <a:fillRect/>
                    </a:stretch>
                  </pic:blipFill>
                  <pic:spPr>
                    <a:xfrm>
                      <a:off x="0" y="0"/>
                      <a:ext cx="4919980" cy="2955925"/>
                    </a:xfrm>
                    <a:prstGeom prst="rect">
                      <a:avLst/>
                    </a:prstGeom>
                    <a:noFill/>
                    <a:ln>
                      <a:noFill/>
                    </a:ln>
                  </pic:spPr>
                </pic:pic>
              </a:graphicData>
            </a:graphic>
          </wp:inline>
        </w:drawing>
      </w:r>
    </w:p>
    <w:p>
      <w:pPr>
        <w:pStyle w:val="33"/>
        <w:numPr>
          <w:ilvl w:val="0"/>
          <w:numId w:val="0"/>
        </w:numPr>
        <w:rPr>
          <w:rFonts w:cs="v4.2.0"/>
          <w:lang w:eastAsia="zh-CN"/>
        </w:rPr>
      </w:pPr>
    </w:p>
    <w:p>
      <w:pPr>
        <w:pStyle w:val="33"/>
        <w:numPr>
          <w:ilvl w:val="0"/>
          <w:numId w:val="0"/>
        </w:numPr>
        <w:rPr>
          <w:rFonts w:cs="v4.2.0"/>
          <w:lang w:eastAsia="zh-CN"/>
        </w:rPr>
      </w:pPr>
    </w:p>
    <w:p>
      <w:pPr>
        <w:pStyle w:val="33"/>
        <w:numPr>
          <w:ilvl w:val="0"/>
          <w:numId w:val="0"/>
        </w:numPr>
        <w:rPr>
          <w:rFonts w:hint="eastAsia" w:ascii="Times New Roman" w:hAnsi="Times New Roman" w:eastAsia="宋体" w:cs="Times New Roman"/>
          <w:b/>
          <w:bCs/>
          <w:color w:val="000000"/>
          <w:sz w:val="22"/>
          <w:szCs w:val="22"/>
          <w:lang w:val="en-US" w:eastAsia="zh-CN" w:bidi="ar-SA"/>
        </w:rPr>
      </w:pPr>
      <w:r>
        <w:rPr>
          <w:rFonts w:hint="eastAsia" w:ascii="Times New Roman" w:hAnsi="Times New Roman" w:eastAsia="宋体" w:cs="Times New Roman"/>
          <w:b/>
          <w:bCs/>
          <w:color w:val="000000"/>
          <w:sz w:val="22"/>
          <w:szCs w:val="22"/>
          <w:lang w:val="en-US" w:eastAsia="zh-CN" w:bidi="ar-SA"/>
        </w:rPr>
        <w:t>Observation 5-1: If  parameters for open-loop TA are updated but the close-loop TA is not reset to 0, large error will be introduce</w:t>
      </w:r>
      <w:r>
        <w:rPr>
          <w:rFonts w:hint="eastAsia" w:cs="Times New Roman"/>
          <w:b/>
          <w:bCs/>
          <w:color w:val="000000"/>
          <w:sz w:val="22"/>
          <w:szCs w:val="22"/>
          <w:lang w:val="en-US" w:eastAsia="zh-CN" w:bidi="ar-SA"/>
        </w:rPr>
        <w:t>d</w:t>
      </w:r>
      <w:r>
        <w:rPr>
          <w:rFonts w:hint="eastAsia" w:ascii="Times New Roman" w:hAnsi="Times New Roman" w:eastAsia="宋体" w:cs="Times New Roman"/>
          <w:b/>
          <w:bCs/>
          <w:color w:val="000000"/>
          <w:sz w:val="22"/>
          <w:szCs w:val="22"/>
          <w:lang w:val="en-US" w:eastAsia="zh-CN" w:bidi="ar-SA"/>
        </w:rPr>
        <w:t xml:space="preserve"> to the UE</w:t>
      </w:r>
      <w:r>
        <w:rPr>
          <w:rFonts w:hint="default" w:ascii="Times New Roman" w:hAnsi="Times New Roman" w:eastAsia="宋体" w:cs="Times New Roman"/>
          <w:b/>
          <w:bCs/>
          <w:color w:val="000000"/>
          <w:sz w:val="22"/>
          <w:szCs w:val="22"/>
          <w:lang w:val="en-US" w:eastAsia="zh-CN" w:bidi="ar-SA"/>
        </w:rPr>
        <w:t>’</w:t>
      </w:r>
      <w:r>
        <w:rPr>
          <w:rFonts w:hint="eastAsia" w:ascii="Times New Roman" w:hAnsi="Times New Roman" w:eastAsia="宋体" w:cs="Times New Roman"/>
          <w:b/>
          <w:bCs/>
          <w:color w:val="000000"/>
          <w:sz w:val="22"/>
          <w:szCs w:val="22"/>
          <w:lang w:val="en-US" w:eastAsia="zh-CN" w:bidi="ar-SA"/>
        </w:rPr>
        <w:t xml:space="preserve">s total TA due to </w:t>
      </w:r>
      <w:r>
        <w:rPr>
          <w:rFonts w:hint="default" w:ascii="Times New Roman" w:hAnsi="Times New Roman" w:eastAsia="宋体" w:cs="Times New Roman"/>
          <w:b/>
          <w:bCs/>
          <w:color w:val="000000"/>
          <w:sz w:val="22"/>
          <w:szCs w:val="22"/>
          <w:lang w:val="en-US" w:eastAsia="zh-CN" w:bidi="ar-SA"/>
        </w:rPr>
        <w:t>“</w:t>
      </w:r>
      <w:r>
        <w:rPr>
          <w:rFonts w:hint="eastAsia" w:ascii="Times New Roman" w:hAnsi="Times New Roman" w:eastAsia="宋体" w:cs="Times New Roman"/>
          <w:b/>
          <w:bCs/>
          <w:color w:val="000000"/>
          <w:sz w:val="22"/>
          <w:szCs w:val="22"/>
          <w:lang w:val="en-US" w:eastAsia="zh-CN" w:bidi="ar-SA"/>
        </w:rPr>
        <w:t>double correction</w:t>
      </w:r>
      <w:r>
        <w:rPr>
          <w:rFonts w:hint="default" w:ascii="Times New Roman" w:hAnsi="Times New Roman" w:eastAsia="宋体" w:cs="Times New Roman"/>
          <w:b/>
          <w:bCs/>
          <w:color w:val="000000"/>
          <w:sz w:val="22"/>
          <w:szCs w:val="22"/>
          <w:lang w:val="en-US" w:eastAsia="zh-CN" w:bidi="ar-SA"/>
        </w:rPr>
        <w:t>”</w:t>
      </w:r>
      <w:r>
        <w:rPr>
          <w:rFonts w:hint="eastAsia" w:ascii="Times New Roman" w:hAnsi="Times New Roman" w:eastAsia="宋体" w:cs="Times New Roman"/>
          <w:b/>
          <w:bCs/>
          <w:color w:val="000000"/>
          <w:sz w:val="22"/>
          <w:szCs w:val="22"/>
          <w:lang w:val="en-US" w:eastAsia="zh-CN" w:bidi="ar-SA"/>
        </w:rPr>
        <w:t xml:space="preserve">. </w:t>
      </w:r>
    </w:p>
    <w:p>
      <w:pPr>
        <w:pStyle w:val="33"/>
        <w:numPr>
          <w:ilvl w:val="0"/>
          <w:numId w:val="0"/>
        </w:numPr>
        <w:rPr>
          <w:rFonts w:hint="default" w:ascii="Times New Roman" w:hAnsi="Times New Roman" w:eastAsia="宋体" w:cs="Times New Roman"/>
          <w:b/>
          <w:bCs/>
          <w:color w:val="000000"/>
          <w:sz w:val="22"/>
          <w:szCs w:val="22"/>
          <w:lang w:val="en-US" w:eastAsia="zh-CN" w:bidi="ar-SA"/>
        </w:rPr>
      </w:pPr>
    </w:p>
    <w:p>
      <w:pPr>
        <w:pStyle w:val="33"/>
        <w:numPr>
          <w:ilvl w:val="0"/>
          <w:numId w:val="0"/>
        </w:numPr>
        <w:rPr>
          <w:rFonts w:hint="default" w:ascii="Times New Roman" w:hAnsi="Times New Roman" w:eastAsia="宋体" w:cs="Times New Roman"/>
          <w:b/>
          <w:bCs/>
          <w:color w:val="000000"/>
          <w:sz w:val="22"/>
          <w:szCs w:val="22"/>
          <w:lang w:val="en-US" w:eastAsia="zh-CN" w:bidi="ar-SA"/>
        </w:rPr>
      </w:pPr>
      <w:r>
        <w:rPr>
          <w:rFonts w:hint="eastAsia" w:ascii="Times New Roman" w:hAnsi="Times New Roman" w:eastAsia="宋体" w:cs="Times New Roman"/>
          <w:b/>
          <w:bCs/>
          <w:color w:val="000000"/>
          <w:sz w:val="22"/>
          <w:szCs w:val="22"/>
          <w:lang w:val="en-US" w:eastAsia="zh-CN" w:bidi="ar-SA"/>
        </w:rPr>
        <w:t>Proposal 5-1</w:t>
      </w:r>
      <w:r>
        <w:rPr>
          <w:rFonts w:ascii="Times New Roman" w:hAnsi="Times New Roman" w:eastAsia="宋体" w:cs="Times New Roman"/>
          <w:b/>
          <w:bCs/>
          <w:color w:val="000000"/>
          <w:sz w:val="22"/>
          <w:szCs w:val="22"/>
          <w:lang w:val="en-US" w:eastAsia="en-US" w:bidi="ar-SA"/>
        </w:rPr>
        <w:t xml:space="preserve">: </w:t>
      </w:r>
      <w:r>
        <w:rPr>
          <w:rFonts w:hint="eastAsia" w:ascii="Times New Roman" w:hAnsi="Times New Roman" w:eastAsia="宋体" w:cs="Times New Roman"/>
          <w:b/>
          <w:bCs/>
          <w:color w:val="000000"/>
          <w:sz w:val="22"/>
          <w:szCs w:val="22"/>
          <w:lang w:val="en-US" w:eastAsia="zh-CN" w:bidi="ar-SA"/>
        </w:rPr>
        <w:t>If  parameters for open-loop TA are updated, the close-loop TA</w:t>
      </w:r>
      <w:r>
        <w:rPr>
          <w:rFonts w:ascii="Times New Roman" w:hAnsi="Times New Roman" w:eastAsia="宋体" w:cs="Times New Roman"/>
          <w:b/>
          <w:bCs/>
          <w:color w:val="000000"/>
          <w:sz w:val="22"/>
          <w:szCs w:val="22"/>
          <w:lang w:val="en-US" w:eastAsia="en-US" w:bidi="ar-SA"/>
        </w:rPr>
        <w:t xml:space="preserve"> </w:t>
      </w:r>
      <w:r>
        <w:rPr>
          <w:rFonts w:hint="eastAsia" w:ascii="Times New Roman" w:hAnsi="Times New Roman" w:eastAsia="宋体" w:cs="Times New Roman"/>
          <w:b/>
          <w:bCs/>
          <w:color w:val="000000"/>
          <w:sz w:val="22"/>
          <w:szCs w:val="22"/>
          <w:lang w:val="en-US" w:eastAsia="zh-CN" w:bidi="ar-SA"/>
        </w:rPr>
        <w:t xml:space="preserve">should be reset to 0 to avoid </w:t>
      </w:r>
      <w:r>
        <w:rPr>
          <w:rFonts w:hint="default" w:ascii="Times New Roman" w:hAnsi="Times New Roman" w:eastAsia="宋体" w:cs="Times New Roman"/>
          <w:b/>
          <w:bCs/>
          <w:color w:val="000000"/>
          <w:sz w:val="22"/>
          <w:szCs w:val="22"/>
          <w:lang w:val="en-US" w:eastAsia="zh-CN" w:bidi="ar-SA"/>
        </w:rPr>
        <w:t>“</w:t>
      </w:r>
      <w:r>
        <w:rPr>
          <w:rFonts w:hint="eastAsia" w:ascii="Times New Roman" w:hAnsi="Times New Roman" w:eastAsia="宋体" w:cs="Times New Roman"/>
          <w:b/>
          <w:bCs/>
          <w:color w:val="000000"/>
          <w:sz w:val="22"/>
          <w:szCs w:val="22"/>
          <w:lang w:val="en-US" w:eastAsia="zh-CN" w:bidi="ar-SA"/>
        </w:rPr>
        <w:t>double correction</w:t>
      </w:r>
      <w:r>
        <w:rPr>
          <w:rFonts w:hint="default" w:ascii="Times New Roman" w:hAnsi="Times New Roman" w:eastAsia="宋体" w:cs="Times New Roman"/>
          <w:b/>
          <w:bCs/>
          <w:color w:val="000000"/>
          <w:sz w:val="22"/>
          <w:szCs w:val="22"/>
          <w:lang w:val="en-US" w:eastAsia="zh-CN" w:bidi="ar-SA"/>
        </w:rPr>
        <w:t>”</w:t>
      </w:r>
      <w:r>
        <w:rPr>
          <w:rFonts w:hint="eastAsia" w:ascii="Times New Roman" w:hAnsi="Times New Roman" w:eastAsia="宋体" w:cs="Times New Roman"/>
          <w:b/>
          <w:bCs/>
          <w:color w:val="000000"/>
          <w:sz w:val="22"/>
          <w:szCs w:val="22"/>
          <w:lang w:val="en-US" w:eastAsia="zh-CN" w:bidi="ar-SA"/>
        </w:rPr>
        <w:t xml:space="preserve">. </w:t>
      </w:r>
    </w:p>
    <w:p>
      <w:pPr>
        <w:rPr>
          <w:rFonts w:hint="eastAsia" w:ascii="Times New Roman" w:hAnsi="Times New Roman" w:eastAsia="宋体" w:cs="Times New Roman"/>
          <w:b/>
          <w:bCs/>
          <w:color w:val="000000"/>
          <w:sz w:val="22"/>
          <w:szCs w:val="22"/>
          <w:lang w:val="en-US" w:eastAsia="zh-CN" w:bidi="ar-SA"/>
        </w:rPr>
      </w:pPr>
    </w:p>
    <w:p>
      <w:pPr>
        <w:pStyle w:val="33"/>
        <w:numPr>
          <w:ilvl w:val="0"/>
          <w:numId w:val="0"/>
        </w:numPr>
        <w:rPr>
          <w:rFonts w:hint="eastAsia" w:cs="v4.2.0"/>
          <w:lang w:val="en-US" w:eastAsia="zh-CN"/>
        </w:rPr>
      </w:pPr>
      <w:r>
        <w:rPr>
          <w:rFonts w:hint="eastAsia" w:cs="v4.2.0"/>
          <w:lang w:val="en-US" w:eastAsia="zh-CN"/>
        </w:rPr>
        <w:t xml:space="preserve">There is another issue. Due to the large feedback delay of TA Command (TAC), there is misalignment in close-loop TA adjustment. The issue is illustrated in Figure 3. At time t1,t2,t3, UL transmissions are made by UE. Then the gNB will detect the residue TA error and feedback to the UE through TAC. But  due to the large RTT in NTN plus processing delay and scheduling delay,  the TA Commands corresponding to these UL transmission are received by the UE after t4 and the TAs indicated in these TACs are accumulated in close-loop TA at time t5. But obviously these TAs does not reflect the actual situation at the time, therefore it is harmful to accumulate these TAs to the TA adjustment. </w:t>
      </w:r>
    </w:p>
    <w:p>
      <w:pPr>
        <w:pStyle w:val="33"/>
        <w:numPr>
          <w:ilvl w:val="0"/>
          <w:numId w:val="0"/>
        </w:numPr>
        <w:rPr>
          <w:rFonts w:hint="default" w:cs="v4.2.0"/>
          <w:lang w:val="en-US" w:eastAsia="zh-CN"/>
        </w:rPr>
      </w:pPr>
      <w:r>
        <w:rPr>
          <w:rFonts w:hint="eastAsia" w:cs="v4.2.0"/>
          <w:lang w:val="en-US" w:eastAsia="zh-CN"/>
        </w:rPr>
        <w:t>The impact of the TAC misalignment is most serious when the open-loop TA parameters is newly updated, as illustrated in Figure 3. To avoid the impact in this case, after open-loop parameters (GNSS, ephemeris, Common TA parameters) are updated, the UE should ignore all TA Commands corresponding to its UL transmission before the update of open-loop TA parameters.</w:t>
      </w:r>
    </w:p>
    <w:p>
      <w:pPr>
        <w:pStyle w:val="33"/>
        <w:numPr>
          <w:ilvl w:val="0"/>
          <w:numId w:val="0"/>
        </w:numPr>
        <w:jc w:val="center"/>
        <w:rPr>
          <w:rFonts w:cs="v4.2.0"/>
          <w:lang w:eastAsia="zh-CN"/>
        </w:rPr>
      </w:pPr>
      <w:r>
        <w:drawing>
          <wp:inline distT="0" distB="0" distL="114300" distR="114300">
            <wp:extent cx="5619750" cy="3592195"/>
            <wp:effectExtent l="0" t="0" r="3810" b="4445"/>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7"/>
                    <a:stretch>
                      <a:fillRect/>
                    </a:stretch>
                  </pic:blipFill>
                  <pic:spPr>
                    <a:xfrm>
                      <a:off x="0" y="0"/>
                      <a:ext cx="5619750" cy="3592195"/>
                    </a:xfrm>
                    <a:prstGeom prst="rect">
                      <a:avLst/>
                    </a:prstGeom>
                    <a:noFill/>
                    <a:ln>
                      <a:noFill/>
                    </a:ln>
                  </pic:spPr>
                </pic:pic>
              </a:graphicData>
            </a:graphic>
          </wp:inline>
        </w:drawing>
      </w:r>
    </w:p>
    <w:p>
      <w:pPr>
        <w:pStyle w:val="33"/>
        <w:numPr>
          <w:ilvl w:val="0"/>
          <w:numId w:val="0"/>
        </w:numPr>
        <w:rPr>
          <w:rFonts w:hint="eastAsia" w:cs="v4.2.0"/>
          <w:b/>
          <w:bCs/>
          <w:lang w:val="en-US" w:eastAsia="zh-CN"/>
        </w:rPr>
      </w:pPr>
      <w:r>
        <w:rPr>
          <w:rFonts w:hint="eastAsia"/>
          <w:b/>
          <w:bCs/>
          <w:color w:val="000000"/>
          <w:lang w:val="en-US" w:eastAsia="zh-CN"/>
        </w:rPr>
        <w:t>Observation 5-2</w:t>
      </w:r>
      <w:r>
        <w:rPr>
          <w:b/>
          <w:bCs/>
          <w:color w:val="000000"/>
        </w:rPr>
        <w:t xml:space="preserve">: </w:t>
      </w:r>
      <w:r>
        <w:rPr>
          <w:rFonts w:hint="eastAsia"/>
          <w:b/>
          <w:bCs/>
          <w:color w:val="000000"/>
          <w:lang w:val="en-US" w:eastAsia="zh-CN"/>
        </w:rPr>
        <w:t>D</w:t>
      </w:r>
      <w:r>
        <w:rPr>
          <w:rFonts w:hint="eastAsia" w:cs="v4.2.0"/>
          <w:b/>
          <w:bCs/>
          <w:lang w:val="en-US" w:eastAsia="zh-CN"/>
        </w:rPr>
        <w:t>ue to the large feedback delay of TA Command in NTN, there is misalignment in close-loop TA adjustment. The TA indicated in TA Command may not be able to reflect the actual situation at the time and may be harmful to the TA adjustment.</w:t>
      </w:r>
      <w:r>
        <w:rPr>
          <w:b/>
          <w:bCs/>
          <w:color w:val="000000"/>
        </w:rPr>
        <w:t xml:space="preserve"> </w:t>
      </w:r>
      <w:r>
        <w:rPr>
          <w:rFonts w:hint="eastAsia" w:cs="v4.2.0"/>
          <w:b/>
          <w:bCs/>
          <w:lang w:val="en-US" w:eastAsia="zh-CN"/>
        </w:rPr>
        <w:t xml:space="preserve">The impact of the TAC misalignment is most serious when the open-loop TA parameters is newly updated.  </w:t>
      </w:r>
    </w:p>
    <w:p>
      <w:pPr>
        <w:pStyle w:val="33"/>
        <w:numPr>
          <w:ilvl w:val="0"/>
          <w:numId w:val="0"/>
        </w:numPr>
        <w:rPr>
          <w:rFonts w:hint="default" w:cs="v4.2.0"/>
          <w:b/>
          <w:bCs/>
          <w:lang w:val="en-US" w:eastAsia="zh-CN"/>
        </w:rPr>
      </w:pPr>
    </w:p>
    <w:p>
      <w:pPr>
        <w:pStyle w:val="33"/>
        <w:numPr>
          <w:ilvl w:val="0"/>
          <w:numId w:val="0"/>
        </w:numPr>
        <w:rPr>
          <w:rFonts w:hint="default" w:cs="v4.2.0"/>
          <w:b/>
          <w:bCs/>
          <w:lang w:val="en-US" w:eastAsia="zh-CN"/>
        </w:rPr>
      </w:pPr>
      <w:r>
        <w:rPr>
          <w:rFonts w:hint="eastAsia"/>
          <w:b/>
          <w:bCs/>
          <w:color w:val="000000"/>
          <w:lang w:val="en-US" w:eastAsia="zh-CN"/>
        </w:rPr>
        <w:t>Proposal 5-2</w:t>
      </w:r>
      <w:r>
        <w:rPr>
          <w:b/>
          <w:bCs/>
          <w:color w:val="000000"/>
        </w:rPr>
        <w:t xml:space="preserve">: </w:t>
      </w:r>
      <w:r>
        <w:rPr>
          <w:rFonts w:hint="eastAsia" w:cs="v4.2.0"/>
          <w:b/>
          <w:bCs/>
          <w:lang w:val="en-US" w:eastAsia="zh-CN"/>
        </w:rPr>
        <w:t>To avoid the impact of TA feedback delay and misalignment, in the case that open-loop parameters (GNSS, ephemeris, Common TA parameters) is newly updated, the UE should ignore all TA Commands corresponding to its UL transmission before the update of open-loop TA parameters. FFS other cases.</w:t>
      </w:r>
    </w:p>
    <w:p>
      <w:pPr>
        <w:pStyle w:val="33"/>
        <w:numPr>
          <w:ilvl w:val="0"/>
          <w:numId w:val="0"/>
        </w:numPr>
        <w:rPr>
          <w:rFonts w:cs="v4.2.0"/>
          <w:lang w:eastAsia="zh-CN"/>
        </w:rPr>
      </w:pPr>
    </w:p>
    <w:p>
      <w:pPr>
        <w:pStyle w:val="41"/>
        <w:widowControl w:val="0"/>
        <w:numPr>
          <w:ilvl w:val="0"/>
          <w:numId w:val="0"/>
        </w:numPr>
        <w:rPr>
          <w:rFonts w:hint="eastAsia"/>
          <w:b/>
          <w:bCs/>
          <w:szCs w:val="22"/>
          <w:lang w:val="en-US" w:eastAsia="zh-CN"/>
        </w:rPr>
      </w:pPr>
    </w:p>
    <w:p>
      <w:pPr>
        <w:pStyle w:val="41"/>
        <w:widowControl w:val="0"/>
        <w:numPr>
          <w:ilvl w:val="0"/>
          <w:numId w:val="0"/>
        </w:numPr>
        <w:rPr>
          <w:rFonts w:hint="eastAsia"/>
          <w:b/>
          <w:bCs/>
          <w:szCs w:val="22"/>
          <w:lang w:val="en-US" w:eastAsia="zh-CN"/>
        </w:rPr>
      </w:pPr>
    </w:p>
    <w:p>
      <w:pPr>
        <w:pStyle w:val="3"/>
        <w:numPr>
          <w:ilvl w:val="1"/>
          <w:numId w:val="0"/>
        </w:numPr>
        <w:ind w:leftChars="0"/>
        <w:rPr>
          <w:sz w:val="32"/>
          <w:szCs w:val="32"/>
          <w:highlight w:val="none"/>
        </w:rPr>
      </w:pPr>
      <w:r>
        <w:rPr>
          <w:sz w:val="32"/>
          <w:szCs w:val="32"/>
          <w:highlight w:val="none"/>
        </w:rPr>
        <w:t>Issue#</w:t>
      </w:r>
      <w:r>
        <w:rPr>
          <w:rFonts w:hint="eastAsia"/>
          <w:sz w:val="32"/>
          <w:szCs w:val="32"/>
          <w:highlight w:val="none"/>
          <w:lang w:val="en-US" w:eastAsia="zh-CN"/>
        </w:rPr>
        <w:t>7</w:t>
      </w:r>
      <w:r>
        <w:rPr>
          <w:sz w:val="32"/>
          <w:szCs w:val="32"/>
          <w:highlight w:val="none"/>
        </w:rPr>
        <w:t xml:space="preserve">: </w:t>
      </w:r>
      <w:r>
        <w:rPr>
          <w:sz w:val="32"/>
          <w:szCs w:val="32"/>
          <w:highlight w:val="none"/>
          <w:lang w:val="en-US"/>
        </w:rPr>
        <w:t>NTN UE Time Alignment Timers</w:t>
      </w:r>
    </w:p>
    <w:p>
      <w:pPr>
        <w:pStyle w:val="41"/>
        <w:widowControl w:val="0"/>
        <w:ind w:left="0" w:leftChars="0" w:firstLine="0" w:firstLineChars="0"/>
        <w:rPr>
          <w:rFonts w:hint="eastAsia"/>
          <w:szCs w:val="22"/>
          <w:lang w:val="en-US" w:eastAsia="zh-CN"/>
        </w:rPr>
      </w:pPr>
      <w:r>
        <w:rPr>
          <w:rFonts w:hint="eastAsia"/>
          <w:szCs w:val="22"/>
          <w:lang w:val="en-US" w:eastAsia="zh-CN"/>
        </w:rPr>
        <w:t>In #106bis-e meeting, the following agreement and FL recommendation have been made:</w:t>
      </w:r>
    </w:p>
    <w:tbl>
      <w:tblPr>
        <w:tblStyle w:val="30"/>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trPr>
        <w:tc>
          <w:tcPr>
            <w:tcW w:w="9857" w:type="dxa"/>
          </w:tcPr>
          <w:p>
            <w:pPr>
              <w:widowControl w:val="0"/>
            </w:pPr>
            <w:r>
              <w:rPr>
                <w:b/>
                <w:bCs/>
              </w:rPr>
              <w:t>W.r.t</w:t>
            </w:r>
            <w:r>
              <w:rPr>
                <w:bCs/>
              </w:rPr>
              <w:t xml:space="preserve"> </w:t>
            </w:r>
            <w:r>
              <w:rPr>
                <w:b/>
                <w:bCs/>
              </w:rPr>
              <w:t>NTN uplink sync</w:t>
            </w:r>
            <w:r>
              <w:rPr>
                <w:bCs/>
              </w:rPr>
              <w:t xml:space="preserve"> V</w:t>
            </w:r>
            <w:r>
              <w:rPr>
                <w:b/>
                <w:bCs/>
              </w:rPr>
              <w:t>alidity duration interpretation</w:t>
            </w:r>
            <w:r>
              <w:rPr>
                <w:bCs/>
              </w:rPr>
              <w:t xml:space="preserve">, and the </w:t>
            </w:r>
            <w:r>
              <w:rPr>
                <w:b/>
                <w:bCs/>
              </w:rPr>
              <w:t>associated UE behavior:</w:t>
            </w:r>
          </w:p>
          <w:p>
            <w:pPr>
              <w:widowControl w:val="0"/>
              <w:rPr>
                <w:lang w:eastAsia="zh-CN"/>
              </w:rPr>
            </w:pPr>
            <w:r>
              <w:rPr>
                <w:highlight w:val="green"/>
                <w:lang w:eastAsia="zh-CN"/>
              </w:rPr>
              <w:t>Agreement:</w:t>
            </w:r>
          </w:p>
          <w:p>
            <w:pPr>
              <w:widowControl w:val="0"/>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pPr>
              <w:widowControl w:val="0"/>
              <w:numPr>
                <w:ilvl w:val="0"/>
                <w:numId w:val="7"/>
              </w:numPr>
              <w:spacing w:after="0"/>
              <w:rPr>
                <w:lang w:eastAsia="zh-CN"/>
              </w:rPr>
            </w:pPr>
            <w:r>
              <w:rPr>
                <w:lang w:eastAsia="zh-CN"/>
              </w:rPr>
              <w:t>FFS: details on how to acquire new or additional assistance information</w:t>
            </w:r>
          </w:p>
          <w:p>
            <w:pPr>
              <w:widowControl w:val="0"/>
              <w:rPr>
                <w:lang w:eastAsia="zh-CN"/>
              </w:rPr>
            </w:pPr>
          </w:p>
          <w:p>
            <w:pPr>
              <w:widowControl w:val="0"/>
              <w:rPr>
                <w:b/>
              </w:rPr>
            </w:pPr>
            <w:r>
              <w:rPr>
                <w:b/>
                <w:bCs/>
              </w:rPr>
              <w:t>W.r.t</w:t>
            </w:r>
            <w:r>
              <w:rPr>
                <w:bCs/>
              </w:rPr>
              <w:t xml:space="preserve"> </w:t>
            </w:r>
            <w:r>
              <w:rPr>
                <w:b/>
              </w:rPr>
              <w:t>Validity timer start/restart:</w:t>
            </w:r>
          </w:p>
          <w:p>
            <w:pPr>
              <w:widowControl w:val="0"/>
              <w:rPr>
                <w:lang w:eastAsia="zh-CN"/>
              </w:rPr>
            </w:pPr>
            <w:r>
              <w:rPr>
                <w:highlight w:val="green"/>
                <w:lang w:eastAsia="zh-CN"/>
              </w:rPr>
              <w:t>Agreement:</w:t>
            </w:r>
          </w:p>
          <w:p>
            <w:pPr>
              <w:widowControl w:val="0"/>
              <w:rPr>
                <w:lang w:eastAsia="zh-CN"/>
              </w:rPr>
            </w:pPr>
            <w:r>
              <w:rPr>
                <w:lang w:eastAsia="zh-CN"/>
              </w:rPr>
              <w:t>NTN ephemeris validity timer should be started/restarted with configured timer validity duration at the epoch time of the assistance information (i.e. serving satellite ephemeris data)</w:t>
            </w:r>
          </w:p>
          <w:p>
            <w:pPr>
              <w:widowControl w:val="0"/>
              <w:rPr>
                <w:b/>
              </w:rPr>
            </w:pPr>
            <w:r>
              <w:rPr>
                <w:b/>
                <w:bCs/>
              </w:rPr>
              <w:t>W.r.t</w:t>
            </w:r>
            <w:r>
              <w:rPr>
                <w:bCs/>
              </w:rPr>
              <w:t xml:space="preserve"> </w:t>
            </w:r>
            <w:r>
              <w:rPr>
                <w:b/>
              </w:rPr>
              <w:t>Validity timer(s) for ephemeris / Common TA:</w:t>
            </w:r>
          </w:p>
          <w:p>
            <w:pPr>
              <w:widowControl w:val="0"/>
              <w:rPr>
                <w:lang w:eastAsia="zh-CN"/>
              </w:rPr>
            </w:pPr>
            <w:r>
              <w:rPr>
                <w:highlight w:val="green"/>
                <w:lang w:eastAsia="zh-CN"/>
              </w:rPr>
              <w:t>Agreement:</w:t>
            </w:r>
          </w:p>
          <w:p>
            <w:pPr>
              <w:widowControl w:val="0"/>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pPr>
              <w:widowControl w:val="0"/>
            </w:pPr>
          </w:p>
          <w:p>
            <w:pPr>
              <w:widowControl w:val="0"/>
              <w:rPr>
                <w:b/>
              </w:rPr>
            </w:pPr>
            <w:r>
              <w:rPr>
                <w:b/>
                <w:bCs/>
              </w:rPr>
              <w:t>W.r.t</w:t>
            </w:r>
            <w:r>
              <w:rPr>
                <w:bCs/>
              </w:rPr>
              <w:t xml:space="preserve"> </w:t>
            </w:r>
            <w:r>
              <w:rPr>
                <w:b/>
              </w:rPr>
              <w:t xml:space="preserve">Indication of the validity duration: </w:t>
            </w:r>
          </w:p>
          <w:p>
            <w:pPr>
              <w:widowControl w:val="0"/>
            </w:pPr>
            <w:r>
              <w:t>The Updated Proposal 6-4 (rev 1) below was further discussed  via RAN1 reflector but it was not agreed due to lack of time.</w:t>
            </w:r>
          </w:p>
          <w:p>
            <w:pPr>
              <w:widowControl w:val="0"/>
              <w:rPr>
                <w:lang w:eastAsia="fr-FR"/>
              </w:rPr>
            </w:pPr>
            <w:r>
              <w:rPr>
                <w:b/>
                <w:bCs/>
                <w:highlight w:val="yellow"/>
              </w:rPr>
              <w:t>Updated Proposal 6-4 (rev 1):</w:t>
            </w:r>
          </w:p>
          <w:p>
            <w:pPr>
              <w:widowControl w:val="0"/>
            </w:pPr>
            <w:r>
              <w:t>The Validity duration for both serving satellite ephemeris and common TA related parameters is at least broadcast on the SIB</w:t>
            </w:r>
          </w:p>
          <w:p>
            <w:pPr>
              <w:widowControl w:val="0"/>
              <w:ind w:left="720" w:hanging="360"/>
            </w:pPr>
            <w:r>
              <w:t>-        FFS: Whether it is defined per cell or per BWP</w:t>
            </w:r>
          </w:p>
          <w:p>
            <w:pPr>
              <w:widowControl w:val="0"/>
              <w:ind w:left="720" w:hanging="360"/>
            </w:pPr>
            <w:r>
              <w:t xml:space="preserve">-        </w:t>
            </w:r>
            <w:r>
              <w:rPr>
                <w:b/>
                <w:bCs/>
                <w:color w:val="FF0000"/>
              </w:rPr>
              <w:t>FFS: whether to provide the Validity duration using dedicated signalling when UE is RRC connected, e.g. if UE is not configured with common search space.</w:t>
            </w:r>
          </w:p>
          <w:p>
            <w:pPr>
              <w:widowControl w:val="0"/>
              <w:ind w:left="720" w:hanging="360"/>
            </w:pPr>
            <w:r>
              <w:t>-        FFS: Its unit and value range</w:t>
            </w:r>
          </w:p>
          <w:p>
            <w:pPr>
              <w:widowControl w:val="0"/>
              <w:rPr>
                <w:b/>
                <w:highlight w:val="cyan"/>
              </w:rPr>
            </w:pPr>
          </w:p>
          <w:p>
            <w:pPr>
              <w:widowControl w:val="0"/>
              <w:rPr>
                <w:b/>
              </w:rPr>
            </w:pPr>
            <w:r>
              <w:rPr>
                <w:b/>
                <w:highlight w:val="cyan"/>
              </w:rPr>
              <w:t>FL Recommendation:</w:t>
            </w:r>
            <w:r>
              <w:rPr>
                <w:b/>
              </w:rPr>
              <w:t xml:space="preserve"> </w:t>
            </w:r>
          </w:p>
          <w:p>
            <w:pPr>
              <w:widowControl w:val="0"/>
              <w:rPr>
                <w:b/>
                <w:highlight w:val="cyan"/>
              </w:rPr>
            </w:pPr>
            <w:r>
              <w:rPr>
                <w:b/>
                <w:highlight w:val="cyan"/>
              </w:rPr>
              <w:t>For RAN1#107-e, Companies are encouraged:</w:t>
            </w:r>
          </w:p>
          <w:p>
            <w:pPr>
              <w:pStyle w:val="41"/>
              <w:widowControl w:val="0"/>
              <w:numPr>
                <w:ilvl w:val="0"/>
                <w:numId w:val="16"/>
              </w:numPr>
              <w:rPr>
                <w:b/>
                <w:bCs/>
                <w:highlight w:val="cyan"/>
              </w:rPr>
            </w:pPr>
            <w:r>
              <w:rPr>
                <w:b/>
                <w:bCs/>
                <w:highlight w:val="cyan"/>
              </w:rPr>
              <w:t>W.r.t</w:t>
            </w:r>
            <w:r>
              <w:rPr>
                <w:bCs/>
                <w:highlight w:val="cyan"/>
              </w:rPr>
              <w:t xml:space="preserve"> </w:t>
            </w:r>
            <w:r>
              <w:rPr>
                <w:b/>
                <w:bCs/>
                <w:highlight w:val="cyan"/>
              </w:rPr>
              <w:t>NTN uplink sync</w:t>
            </w:r>
            <w:r>
              <w:rPr>
                <w:bCs/>
                <w:highlight w:val="cyan"/>
              </w:rPr>
              <w:t xml:space="preserve"> V</w:t>
            </w:r>
            <w:r>
              <w:rPr>
                <w:b/>
                <w:bCs/>
                <w:highlight w:val="cyan"/>
              </w:rPr>
              <w:t>alidity duration associated UE behavior:</w:t>
            </w:r>
          </w:p>
          <w:p>
            <w:pPr>
              <w:widowControl w:val="0"/>
              <w:ind w:left="568"/>
              <w:rPr>
                <w:b/>
                <w:highlight w:val="cyan"/>
                <w:lang w:eastAsia="zh-CN"/>
              </w:rPr>
            </w:pPr>
            <w:r>
              <w:rPr>
                <w:b/>
                <w:bCs/>
                <w:highlight w:val="cyan"/>
              </w:rPr>
              <w:t xml:space="preserve">-  Provide inputs regarding the remaining FFS: </w:t>
            </w:r>
            <w:r>
              <w:rPr>
                <w:b/>
                <w:highlight w:val="cyan"/>
                <w:lang w:eastAsia="zh-CN"/>
              </w:rPr>
              <w:t>details on how to acquire new or additional assistance information</w:t>
            </w:r>
          </w:p>
          <w:p>
            <w:pPr>
              <w:pStyle w:val="41"/>
              <w:widowControl w:val="0"/>
              <w:numPr>
                <w:ilvl w:val="0"/>
                <w:numId w:val="16"/>
              </w:numPr>
              <w:rPr>
                <w:b/>
                <w:highlight w:val="cyan"/>
              </w:rPr>
            </w:pPr>
            <w:r>
              <w:rPr>
                <w:b/>
                <w:bCs/>
                <w:highlight w:val="cyan"/>
              </w:rPr>
              <w:t>W.r.t</w:t>
            </w:r>
            <w:r>
              <w:rPr>
                <w:bCs/>
                <w:highlight w:val="cyan"/>
              </w:rPr>
              <w:t xml:space="preserve"> </w:t>
            </w:r>
            <w:r>
              <w:rPr>
                <w:b/>
                <w:highlight w:val="cyan"/>
              </w:rPr>
              <w:t xml:space="preserve">indication of the validity duration: </w:t>
            </w:r>
          </w:p>
          <w:p>
            <w:pPr>
              <w:widowControl w:val="0"/>
              <w:ind w:left="568"/>
              <w:rPr>
                <w:b/>
                <w:highlight w:val="cyan"/>
              </w:rPr>
            </w:pPr>
            <w:r>
              <w:rPr>
                <w:b/>
                <w:highlight w:val="cyan"/>
              </w:rPr>
              <w:t>- Comment/provide inputs on Updated Proposal 6-4 (rev 1):</w:t>
            </w:r>
          </w:p>
          <w:p>
            <w:pPr>
              <w:pStyle w:val="41"/>
              <w:widowControl w:val="0"/>
              <w:numPr>
                <w:ilvl w:val="0"/>
                <w:numId w:val="17"/>
              </w:numPr>
              <w:rPr>
                <w:b/>
                <w:highlight w:val="cyan"/>
              </w:rPr>
            </w:pPr>
            <w:r>
              <w:rPr>
                <w:b/>
                <w:highlight w:val="cyan"/>
              </w:rPr>
              <w:t>FFS: Whether it is defined per cell or per BWP</w:t>
            </w:r>
          </w:p>
          <w:p>
            <w:pPr>
              <w:pStyle w:val="41"/>
              <w:widowControl w:val="0"/>
              <w:numPr>
                <w:ilvl w:val="0"/>
                <w:numId w:val="17"/>
              </w:numPr>
              <w:rPr>
                <w:b/>
                <w:highlight w:val="cyan"/>
              </w:rPr>
            </w:pPr>
            <w:r>
              <w:rPr>
                <w:b/>
                <w:bCs/>
                <w:highlight w:val="cyan"/>
              </w:rPr>
              <w:t>FFS: whether to provide the Validity duration/timer using dedicated signalling when UE is RRC connected, e.g. if UE is not configured with common search space.</w:t>
            </w:r>
          </w:p>
          <w:p>
            <w:pPr>
              <w:pStyle w:val="41"/>
              <w:widowControl w:val="0"/>
              <w:numPr>
                <w:ilvl w:val="0"/>
                <w:numId w:val="17"/>
              </w:numPr>
              <w:rPr>
                <w:b/>
                <w:highlight w:val="cyan"/>
              </w:rPr>
            </w:pPr>
            <w:r>
              <w:rPr>
                <w:b/>
                <w:highlight w:val="cyan"/>
              </w:rPr>
              <w:t>FFS: Its unit, value range and default value:</w:t>
            </w:r>
          </w:p>
          <w:p>
            <w:pPr>
              <w:widowControl w:val="0"/>
              <w:rPr>
                <w:highlight w:val="cyan"/>
              </w:rPr>
            </w:pPr>
          </w:p>
          <w:tbl>
            <w:tblPr>
              <w:tblStyle w:val="29"/>
              <w:tblW w:w="9636" w:type="dxa"/>
              <w:tblInd w:w="0" w:type="dxa"/>
              <w:tblLayout w:type="fixed"/>
              <w:tblCellMar>
                <w:top w:w="0" w:type="dxa"/>
                <w:left w:w="70" w:type="dxa"/>
                <w:bottom w:w="0" w:type="dxa"/>
                <w:right w:w="70" w:type="dxa"/>
              </w:tblCellMar>
            </w:tblPr>
            <w:tblGrid>
              <w:gridCol w:w="3328"/>
              <w:gridCol w:w="2841"/>
              <w:gridCol w:w="638"/>
              <w:gridCol w:w="760"/>
              <w:gridCol w:w="851"/>
              <w:gridCol w:w="1218"/>
            </w:tblGrid>
            <w:tr>
              <w:tblPrEx>
                <w:tblLayout w:type="fixed"/>
              </w:tblPrEx>
              <w:trPr>
                <w:trHeight w:val="520" w:hRule="atLeast"/>
              </w:trPr>
              <w:tc>
                <w:tcPr>
                  <w:tcW w:w="3328" w:type="dxa"/>
                  <w:tcBorders>
                    <w:top w:val="single" w:color="auto" w:sz="4" w:space="0"/>
                    <w:left w:val="single" w:color="auto" w:sz="4" w:space="0"/>
                    <w:bottom w:val="single" w:color="auto" w:sz="4" w:space="0"/>
                    <w:right w:val="single" w:color="auto" w:sz="4" w:space="0"/>
                  </w:tcBorders>
                  <w:shd w:val="clear" w:color="000000" w:fill="00B0F0"/>
                  <w:vAlign w:val="center"/>
                </w:tcPr>
                <w:p>
                  <w:pPr>
                    <w:spacing w:after="0"/>
                    <w:rPr>
                      <w:rFonts w:ascii="Arial" w:hAnsi="Arial" w:eastAsia="Times New Roman" w:cs="Arial"/>
                      <w:b/>
                      <w:bCs/>
                      <w:color w:val="FFFFFF"/>
                      <w:highlight w:val="cyan"/>
                      <w:lang w:eastAsia="fr-FR"/>
                    </w:rPr>
                  </w:pPr>
                  <w:r>
                    <w:rPr>
                      <w:rFonts w:ascii="Arial" w:hAnsi="Arial" w:eastAsia="Times New Roman" w:cs="Arial"/>
                      <w:b/>
                      <w:bCs/>
                      <w:color w:val="FFFFFF"/>
                      <w:highlight w:val="cyan"/>
                      <w:lang w:eastAsia="fr-FR"/>
                    </w:rPr>
                    <w:t>Parameter name in the spec</w:t>
                  </w:r>
                </w:p>
              </w:tc>
              <w:tc>
                <w:tcPr>
                  <w:tcW w:w="2841"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Times New Roman" w:cs="Arial"/>
                      <w:b/>
                      <w:bCs/>
                      <w:color w:val="FFFFFF"/>
                      <w:highlight w:val="cyan"/>
                      <w:lang w:val="fr-FR" w:eastAsia="fr-FR"/>
                    </w:rPr>
                  </w:pPr>
                  <w:r>
                    <w:rPr>
                      <w:rFonts w:ascii="Arial" w:hAnsi="Arial" w:eastAsia="Times New Roman" w:cs="Arial"/>
                      <w:b/>
                      <w:bCs/>
                      <w:color w:val="FFFFFF"/>
                      <w:highlight w:val="cyan"/>
                      <w:lang w:val="fr-FR" w:eastAsia="fr-FR"/>
                    </w:rPr>
                    <w:t>Description</w:t>
                  </w:r>
                </w:p>
              </w:tc>
              <w:tc>
                <w:tcPr>
                  <w:tcW w:w="638"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Times New Roman" w:cs="Arial"/>
                      <w:b/>
                      <w:bCs/>
                      <w:color w:val="FFFFFF"/>
                      <w:highlight w:val="cyan"/>
                      <w:lang w:val="fr-FR" w:eastAsia="fr-FR"/>
                    </w:rPr>
                  </w:pPr>
                  <w:r>
                    <w:rPr>
                      <w:rFonts w:ascii="Arial" w:hAnsi="Arial" w:eastAsia="Times New Roman" w:cs="Arial"/>
                      <w:b/>
                      <w:bCs/>
                      <w:color w:val="FFFFFF"/>
                      <w:highlight w:val="cyan"/>
                      <w:lang w:val="fr-FR" w:eastAsia="fr-FR"/>
                    </w:rPr>
                    <w:t>Value range</w:t>
                  </w:r>
                </w:p>
              </w:tc>
              <w:tc>
                <w:tcPr>
                  <w:tcW w:w="760"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Times New Roman" w:cs="Arial"/>
                      <w:b/>
                      <w:bCs/>
                      <w:color w:val="FFFFFF"/>
                      <w:highlight w:val="cyan"/>
                      <w:lang w:val="fr-FR" w:eastAsia="fr-FR"/>
                    </w:rPr>
                  </w:pPr>
                  <w:r>
                    <w:rPr>
                      <w:rFonts w:ascii="Arial" w:hAnsi="Arial" w:eastAsia="Times New Roman" w:cs="Arial"/>
                      <w:b/>
                      <w:bCs/>
                      <w:color w:val="FFFFFF"/>
                      <w:highlight w:val="cyan"/>
                      <w:lang w:val="fr-FR" w:eastAsia="fr-FR"/>
                    </w:rPr>
                    <w:t>Default value aspect</w:t>
                  </w:r>
                </w:p>
              </w:tc>
              <w:tc>
                <w:tcPr>
                  <w:tcW w:w="851"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Times New Roman" w:cs="Arial"/>
                      <w:b/>
                      <w:bCs/>
                      <w:color w:val="FFFFFF"/>
                      <w:highlight w:val="cyan"/>
                      <w:lang w:val="fr-FR" w:eastAsia="fr-FR"/>
                    </w:rPr>
                  </w:pPr>
                  <w:r>
                    <w:rPr>
                      <w:rFonts w:ascii="Arial" w:hAnsi="Arial" w:eastAsia="Times New Roman" w:cs="Arial"/>
                      <w:b/>
                      <w:bCs/>
                      <w:color w:val="FFFFFF"/>
                      <w:highlight w:val="cyan"/>
                      <w:lang w:val="fr-FR" w:eastAsia="fr-FR"/>
                    </w:rPr>
                    <w:t>Per (UE, cell, TRP, …)</w:t>
                  </w:r>
                </w:p>
              </w:tc>
              <w:tc>
                <w:tcPr>
                  <w:tcW w:w="1218"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Times New Roman" w:cs="Arial"/>
                      <w:b/>
                      <w:bCs/>
                      <w:color w:val="FFFFFF"/>
                      <w:highlight w:val="cyan"/>
                      <w:lang w:eastAsia="fr-FR"/>
                    </w:rPr>
                  </w:pPr>
                  <w:r>
                    <w:rPr>
                      <w:rFonts w:ascii="Arial" w:hAnsi="Arial" w:eastAsia="Times New Roman" w:cs="Arial"/>
                      <w:b/>
                      <w:bCs/>
                      <w:color w:val="FFFFFF"/>
                      <w:highlight w:val="cyan"/>
                      <w:lang w:eastAsia="fr-FR"/>
                    </w:rPr>
                    <w:t>UE-specific or Cell-specific</w:t>
                  </w:r>
                </w:p>
              </w:tc>
            </w:tr>
            <w:tr>
              <w:tblPrEx>
                <w:tblLayout w:type="fixed"/>
                <w:tblCellMar>
                  <w:top w:w="0" w:type="dxa"/>
                  <w:left w:w="70" w:type="dxa"/>
                  <w:bottom w:w="0" w:type="dxa"/>
                  <w:right w:w="70" w:type="dxa"/>
                </w:tblCellMar>
              </w:tblPrEx>
              <w:trPr>
                <w:trHeight w:val="1150" w:hRule="atLeast"/>
              </w:trPr>
              <w:tc>
                <w:tcPr>
                  <w:tcW w:w="3328" w:type="dxa"/>
                  <w:tcBorders>
                    <w:top w:val="nil"/>
                    <w:left w:val="single" w:color="auto" w:sz="4" w:space="0"/>
                    <w:bottom w:val="single" w:color="auto" w:sz="4" w:space="0"/>
                    <w:right w:val="single" w:color="auto" w:sz="4" w:space="0"/>
                  </w:tcBorders>
                  <w:shd w:val="clear" w:color="auto" w:fill="auto"/>
                  <w:vAlign w:val="center"/>
                </w:tcPr>
                <w:p>
                  <w:pPr>
                    <w:spacing w:after="0"/>
                    <w:rPr>
                      <w:rFonts w:eastAsia="Times New Roman"/>
                      <w:color w:val="000000"/>
                      <w:sz w:val="22"/>
                      <w:szCs w:val="22"/>
                      <w:highlight w:val="cyan"/>
                      <w:lang w:val="fr-FR" w:eastAsia="fr-FR"/>
                    </w:rPr>
                  </w:pPr>
                  <w:r>
                    <w:rPr>
                      <w:rFonts w:eastAsia="Times New Roman"/>
                      <w:color w:val="000000"/>
                      <w:sz w:val="22"/>
                      <w:szCs w:val="22"/>
                      <w:highlight w:val="cyan"/>
                      <w:lang w:val="fr-FR" w:eastAsia="fr-FR"/>
                    </w:rPr>
                    <w:t>[ntnServingSatEphemerisValidityDuration]</w:t>
                  </w:r>
                </w:p>
              </w:tc>
              <w:tc>
                <w:tcPr>
                  <w:tcW w:w="2841" w:type="dxa"/>
                  <w:tcBorders>
                    <w:top w:val="nil"/>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highlight w:val="cyan"/>
                      <w:lang w:eastAsia="fr-FR"/>
                    </w:rPr>
                  </w:pPr>
                  <w:r>
                    <w:rPr>
                      <w:rFonts w:ascii="Arial" w:hAnsi="Arial" w:eastAsia="Times New Roman" w:cs="Arial"/>
                      <w:color w:val="000000"/>
                      <w:sz w:val="18"/>
                      <w:szCs w:val="18"/>
                      <w:highlight w:val="cyan"/>
                      <w:lang w:eastAsia="fr-FR"/>
                    </w:rPr>
                    <w:t>A validity duration configured by the network for satellite ephemeris data which indicates the maximum time during which the UE can apply the satellite ephemeris without having acquired new satellite ephemeris.</w:t>
                  </w:r>
                  <w:r>
                    <w:rPr>
                      <w:rFonts w:ascii="Arial" w:hAnsi="Arial" w:eastAsia="Times New Roman" w:cs="Arial"/>
                      <w:color w:val="000000"/>
                      <w:sz w:val="18"/>
                      <w:szCs w:val="18"/>
                      <w:highlight w:val="cyan"/>
                      <w:lang w:eastAsia="fr-FR"/>
                    </w:rPr>
                    <w:br w:type="textWrapping"/>
                  </w:r>
                  <w:r>
                    <w:rPr>
                      <w:rFonts w:ascii="Arial" w:hAnsi="Arial" w:eastAsia="Times New Roman" w:cs="Arial"/>
                      <w:color w:val="000000"/>
                      <w:sz w:val="18"/>
                      <w:szCs w:val="18"/>
                      <w:highlight w:val="cyan"/>
                      <w:lang w:eastAsia="fr-FR"/>
                    </w:rPr>
                    <w:t>The unit of ntnServingSatEphemerisValidityDuration is [TBD]</w:t>
                  </w:r>
                </w:p>
              </w:tc>
              <w:tc>
                <w:tcPr>
                  <w:tcW w:w="638" w:type="dxa"/>
                  <w:tcBorders>
                    <w:top w:val="nil"/>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highlight w:val="cyan"/>
                      <w:lang w:val="fr-FR" w:eastAsia="fr-FR"/>
                    </w:rPr>
                  </w:pPr>
                  <w:r>
                    <w:rPr>
                      <w:rFonts w:ascii="Arial" w:hAnsi="Arial" w:eastAsia="Times New Roman" w:cs="Arial"/>
                      <w:color w:val="000000"/>
                      <w:sz w:val="18"/>
                      <w:szCs w:val="18"/>
                      <w:highlight w:val="cyan"/>
                      <w:lang w:val="fr-FR" w:eastAsia="fr-FR"/>
                    </w:rPr>
                    <w:t>TBD</w:t>
                  </w:r>
                </w:p>
              </w:tc>
              <w:tc>
                <w:tcPr>
                  <w:tcW w:w="760"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2"/>
                      <w:szCs w:val="22"/>
                      <w:highlight w:val="cyan"/>
                      <w:lang w:val="fr-FR" w:eastAsia="fr-FR"/>
                    </w:rPr>
                  </w:pPr>
                  <w:r>
                    <w:rPr>
                      <w:rFonts w:eastAsia="Times New Roman"/>
                      <w:color w:val="000000"/>
                      <w:sz w:val="22"/>
                      <w:szCs w:val="22"/>
                      <w:highlight w:val="cyan"/>
                      <w:lang w:val="fr-FR" w:eastAsia="fr-FR"/>
                    </w:rPr>
                    <w:t> </w:t>
                  </w:r>
                </w:p>
              </w:tc>
              <w:tc>
                <w:tcPr>
                  <w:tcW w:w="851"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2"/>
                      <w:szCs w:val="22"/>
                      <w:highlight w:val="cyan"/>
                      <w:lang w:val="fr-FR" w:eastAsia="fr-FR"/>
                    </w:rPr>
                  </w:pPr>
                  <w:r>
                    <w:rPr>
                      <w:rFonts w:eastAsia="Times New Roman"/>
                      <w:color w:val="000000"/>
                      <w:sz w:val="22"/>
                      <w:szCs w:val="22"/>
                      <w:highlight w:val="cyan"/>
                      <w:lang w:val="fr-FR" w:eastAsia="fr-FR"/>
                    </w:rPr>
                    <w:br w:type="textWrapping"/>
                  </w:r>
                  <w:r>
                    <w:rPr>
                      <w:rFonts w:eastAsia="Times New Roman"/>
                      <w:color w:val="000000"/>
                      <w:sz w:val="22"/>
                      <w:szCs w:val="22"/>
                      <w:highlight w:val="cyan"/>
                      <w:lang w:val="fr-FR" w:eastAsia="fr-FR"/>
                    </w:rPr>
                    <w:t>[ BWP]</w:t>
                  </w:r>
                </w:p>
              </w:tc>
              <w:tc>
                <w:tcPr>
                  <w:tcW w:w="1218"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2"/>
                      <w:szCs w:val="22"/>
                      <w:lang w:val="fr-FR" w:eastAsia="fr-FR"/>
                    </w:rPr>
                  </w:pPr>
                  <w:r>
                    <w:rPr>
                      <w:rFonts w:eastAsia="Times New Roman"/>
                      <w:color w:val="000000"/>
                      <w:sz w:val="22"/>
                      <w:szCs w:val="22"/>
                      <w:highlight w:val="cyan"/>
                      <w:lang w:val="fr-FR" w:eastAsia="fr-FR"/>
                    </w:rPr>
                    <w:t>Cell-specific</w:t>
                  </w:r>
                </w:p>
              </w:tc>
            </w:tr>
          </w:tbl>
          <w:p>
            <w:pPr>
              <w:widowControl w:val="0"/>
            </w:pPr>
          </w:p>
          <w:p>
            <w:pPr>
              <w:widowControl w:val="0"/>
              <w:numPr>
                <w:ilvl w:val="0"/>
                <w:numId w:val="18"/>
              </w:numPr>
              <w:rPr>
                <w:rFonts w:eastAsia="MS Mincho"/>
                <w:b/>
                <w:bCs/>
              </w:rPr>
            </w:pPr>
          </w:p>
        </w:tc>
      </w:tr>
    </w:tbl>
    <w:p>
      <w:pPr>
        <w:pStyle w:val="41"/>
        <w:widowControl w:val="0"/>
        <w:numPr>
          <w:ilvl w:val="0"/>
          <w:numId w:val="0"/>
        </w:numPr>
        <w:rPr>
          <w:rFonts w:hint="eastAsia"/>
          <w:szCs w:val="22"/>
          <w:lang w:val="en-US" w:eastAsia="zh-CN"/>
        </w:rPr>
      </w:pPr>
    </w:p>
    <w:p>
      <w:pPr>
        <w:pStyle w:val="41"/>
        <w:widowControl w:val="0"/>
        <w:numPr>
          <w:ilvl w:val="0"/>
          <w:numId w:val="0"/>
        </w:numPr>
        <w:rPr>
          <w:rFonts w:hint="eastAsia"/>
          <w:szCs w:val="22"/>
          <w:lang w:val="en-US" w:eastAsia="zh-CN"/>
        </w:rPr>
      </w:pPr>
    </w:p>
    <w:p>
      <w:pPr>
        <w:rPr>
          <w:rFonts w:hint="eastAsia"/>
          <w:b/>
          <w:bCs/>
          <w:color w:val="auto"/>
          <w:lang w:val="en-US" w:eastAsia="zh-CN"/>
        </w:rPr>
      </w:pPr>
      <w:r>
        <w:rPr>
          <w:b/>
          <w:bCs/>
          <w:color w:val="auto"/>
        </w:rPr>
        <w:t xml:space="preserve">Proposal </w:t>
      </w:r>
      <w:r>
        <w:rPr>
          <w:rFonts w:hint="eastAsia"/>
          <w:b/>
          <w:bCs/>
          <w:color w:val="auto"/>
          <w:lang w:val="en-US" w:eastAsia="zh-CN"/>
        </w:rPr>
        <w:t>7-1</w:t>
      </w:r>
      <w:r>
        <w:rPr>
          <w:b/>
          <w:bCs/>
          <w:color w:val="auto"/>
        </w:rPr>
        <w:t>:</w:t>
      </w:r>
      <w:r>
        <w:rPr>
          <w:rFonts w:hint="eastAsia"/>
          <w:b/>
          <w:bCs/>
          <w:color w:val="auto"/>
          <w:lang w:val="en-US" w:eastAsia="zh-CN"/>
        </w:rPr>
        <w:t xml:space="preserve"> </w:t>
      </w:r>
      <w:r>
        <w:rPr>
          <w:b/>
          <w:bCs/>
          <w:color w:val="auto"/>
        </w:rPr>
        <w:t>The Validity duration for both serving satellite ephemeris and common TA related parameters is at least broadcast on the SIB</w:t>
      </w:r>
      <w:r>
        <w:rPr>
          <w:rFonts w:hint="eastAsia"/>
          <w:b/>
          <w:bCs/>
          <w:color w:val="auto"/>
          <w:lang w:val="en-US" w:eastAsia="zh-CN"/>
        </w:rPr>
        <w:t>. I</w:t>
      </w:r>
      <w:r>
        <w:rPr>
          <w:b/>
          <w:bCs/>
          <w:color w:val="auto"/>
        </w:rPr>
        <w:t>t is defined per cell</w:t>
      </w:r>
      <w:r>
        <w:rPr>
          <w:rFonts w:hint="eastAsia"/>
          <w:b/>
          <w:bCs/>
          <w:color w:val="auto"/>
          <w:lang w:val="en-US" w:eastAsia="zh-CN"/>
        </w:rPr>
        <w:t>.</w:t>
      </w:r>
    </w:p>
    <w:p>
      <w:pPr>
        <w:rPr>
          <w:rFonts w:hint="eastAsia"/>
          <w:b/>
          <w:bCs/>
          <w:color w:val="auto"/>
          <w:lang w:val="en-US" w:eastAsia="zh-CN"/>
        </w:rPr>
      </w:pPr>
    </w:p>
    <w:p>
      <w:pPr>
        <w:rPr>
          <w:b/>
          <w:bCs/>
          <w:color w:val="auto"/>
        </w:rPr>
      </w:pPr>
      <w:r>
        <w:rPr>
          <w:b/>
          <w:bCs/>
          <w:color w:val="auto"/>
        </w:rPr>
        <w:t xml:space="preserve">Proposal </w:t>
      </w:r>
      <w:r>
        <w:rPr>
          <w:rFonts w:hint="eastAsia"/>
          <w:b/>
          <w:bCs/>
          <w:color w:val="auto"/>
          <w:lang w:val="en-US" w:eastAsia="zh-CN"/>
        </w:rPr>
        <w:t>7-2</w:t>
      </w:r>
      <w:r>
        <w:rPr>
          <w:b/>
          <w:bCs/>
          <w:color w:val="auto"/>
        </w:rPr>
        <w:t>:</w:t>
      </w:r>
      <w:r>
        <w:rPr>
          <w:rFonts w:hint="eastAsia"/>
          <w:b/>
          <w:bCs/>
          <w:color w:val="auto"/>
          <w:lang w:val="en-US" w:eastAsia="zh-CN"/>
        </w:rPr>
        <w:t xml:space="preserve"> P</w:t>
      </w:r>
      <w:r>
        <w:rPr>
          <w:b/>
          <w:bCs/>
          <w:color w:val="auto"/>
        </w:rPr>
        <w:t>rovide the Validity duration using dedicated signalling when UE is RRC connected, e.g. if UE is not configured with common search space.</w:t>
      </w:r>
    </w:p>
    <w:p>
      <w:pPr>
        <w:pStyle w:val="41"/>
        <w:widowControl w:val="0"/>
        <w:numPr>
          <w:ilvl w:val="0"/>
          <w:numId w:val="0"/>
        </w:numPr>
        <w:rPr>
          <w:rFonts w:hint="default"/>
          <w:b/>
          <w:bCs/>
          <w:color w:val="000000"/>
          <w:lang w:val="en-US" w:eastAsia="zh-CN"/>
        </w:rPr>
      </w:pPr>
    </w:p>
    <w:p>
      <w:pPr>
        <w:pStyle w:val="41"/>
        <w:widowControl w:val="0"/>
        <w:numPr>
          <w:ilvl w:val="0"/>
          <w:numId w:val="0"/>
        </w:numPr>
        <w:rPr>
          <w:rFonts w:hint="eastAsia"/>
          <w:szCs w:val="22"/>
          <w:lang w:val="en-US" w:eastAsia="zh-CN"/>
        </w:rPr>
      </w:pPr>
    </w:p>
    <w:p>
      <w:pPr>
        <w:pStyle w:val="41"/>
        <w:widowControl w:val="0"/>
        <w:numPr>
          <w:ilvl w:val="0"/>
          <w:numId w:val="0"/>
        </w:numPr>
        <w:rPr>
          <w:rFonts w:hint="eastAsia"/>
          <w:szCs w:val="22"/>
          <w:lang w:val="en-US" w:eastAsia="zh-CN"/>
        </w:rPr>
      </w:pPr>
    </w:p>
    <w:p>
      <w:pPr>
        <w:rPr>
          <w:rFonts w:hint="eastAsia"/>
          <w:b/>
          <w:bCs/>
          <w:color w:val="000000"/>
          <w:sz w:val="20"/>
          <w:lang w:val="en-US" w:eastAsia="zh-CN"/>
        </w:rPr>
      </w:pPr>
    </w:p>
    <w:p>
      <w:pPr>
        <w:rPr>
          <w:rFonts w:hint="default"/>
          <w:b/>
          <w:bCs/>
          <w:color w:val="000000"/>
          <w:sz w:val="20"/>
          <w:highlight w:val="cyan"/>
          <w:lang w:val="en-US" w:eastAsia="zh-CN"/>
        </w:rPr>
      </w:pPr>
    </w:p>
    <w:p>
      <w:pPr>
        <w:rPr>
          <w:b/>
          <w:bCs/>
          <w:color w:val="000000"/>
          <w:sz w:val="20"/>
          <w:highlight w:val="cyan"/>
          <w:lang w:eastAsia="zh-CN"/>
        </w:rPr>
      </w:pPr>
    </w:p>
    <w:p>
      <w:pPr>
        <w:pStyle w:val="3"/>
        <w:numPr>
          <w:ilvl w:val="1"/>
          <w:numId w:val="0"/>
        </w:numPr>
        <w:ind w:leftChars="0"/>
        <w:rPr>
          <w:sz w:val="32"/>
          <w:szCs w:val="32"/>
          <w:highlight w:val="none"/>
        </w:rPr>
      </w:pPr>
      <w:r>
        <w:rPr>
          <w:sz w:val="32"/>
          <w:szCs w:val="32"/>
          <w:highlight w:val="none"/>
        </w:rPr>
        <w:t>Issue#11: Serving satellite ephemeris Epoch time</w:t>
      </w:r>
    </w:p>
    <w:p>
      <w:pPr>
        <w:pStyle w:val="41"/>
        <w:widowControl w:val="0"/>
        <w:ind w:left="0" w:leftChars="0" w:firstLine="0" w:firstLineChars="0"/>
        <w:rPr>
          <w:rFonts w:hint="eastAsia"/>
          <w:szCs w:val="22"/>
          <w:lang w:val="en-US" w:eastAsia="zh-CN"/>
        </w:rPr>
      </w:pPr>
      <w:r>
        <w:rPr>
          <w:rFonts w:hint="eastAsia"/>
          <w:szCs w:val="22"/>
          <w:lang w:val="en-US" w:eastAsia="zh-CN"/>
        </w:rPr>
        <w:t>In #106bis-e meeting, the following FL recommendation have been made:</w:t>
      </w:r>
    </w:p>
    <w:tbl>
      <w:tblPr>
        <w:tblStyle w:val="30"/>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8" w:hRule="atLeast"/>
        </w:trPr>
        <w:tc>
          <w:tcPr>
            <w:tcW w:w="9638" w:type="dxa"/>
          </w:tcPr>
          <w:p>
            <w:pPr>
              <w:widowControl w:val="0"/>
              <w:rPr>
                <w:lang w:eastAsia="fr-FR"/>
              </w:rPr>
            </w:pPr>
            <w:r>
              <w:rPr>
                <w:b/>
                <w:bCs/>
                <w:highlight w:val="yellow"/>
              </w:rPr>
              <w:t>Updated Proposal 11-1:</w:t>
            </w:r>
          </w:p>
          <w:p>
            <w:pPr>
              <w:widowControl w:val="0"/>
            </w:pPr>
            <w:r>
              <w:t>One of following options is to be supported:</w:t>
            </w:r>
          </w:p>
          <w:p>
            <w:pPr>
              <w:widowControl w:val="0"/>
              <w:ind w:left="720" w:hanging="360"/>
            </w:pPr>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pPr>
              <w:widowControl w:val="0"/>
              <w:ind w:left="1440" w:hanging="360"/>
            </w:pPr>
            <w:r>
              <w:rPr>
                <w:rFonts w:ascii="Symbol" w:hAnsi="Symbol"/>
              </w:rPr>
              <w:t></w:t>
            </w:r>
            <w:r>
              <w:t>       N is optionally signaled with the ephemeris (otherwise 0).</w:t>
            </w:r>
          </w:p>
          <w:p>
            <w:pPr>
              <w:widowControl w:val="0"/>
              <w:ind w:left="720" w:hanging="360"/>
            </w:pPr>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pPr>
              <w:widowControl w:val="0"/>
            </w:pPr>
            <w:r>
              <w:rPr>
                <w:lang w:eastAsia="zh-CN"/>
              </w:rPr>
              <w:t xml:space="preserve">Note: “implicitly known” means that UTC is not provided to define </w:t>
            </w:r>
            <w:r>
              <w:t>Serving satellite ephemeris Epoch time</w:t>
            </w:r>
          </w:p>
          <w:p>
            <w:pPr>
              <w:widowControl w:val="0"/>
            </w:pPr>
          </w:p>
          <w:p>
            <w:pPr>
              <w:widowControl w:val="0"/>
            </w:pPr>
            <w:r>
              <w:t>Updated Proposal 11-2, was further discussed vie the reflector but was not agreed.</w:t>
            </w:r>
          </w:p>
          <w:p>
            <w:pPr>
              <w:widowControl w:val="0"/>
              <w:rPr>
                <w:b/>
                <w:lang w:eastAsia="zh-CN"/>
              </w:rPr>
            </w:pPr>
            <w:r>
              <w:rPr>
                <w:b/>
                <w:highlight w:val="yellow"/>
                <w:lang w:eastAsia="zh-CN"/>
              </w:rPr>
              <w:t>Updated Proposal 11-2:</w:t>
            </w:r>
          </w:p>
          <w:p>
            <w:pPr>
              <w:widowControl w:val="0"/>
              <w:spacing w:after="0"/>
              <w:rPr>
                <w:rFonts w:eastAsia="Calibri"/>
                <w:b/>
                <w:bCs/>
                <w:lang w:eastAsia="fr-FR"/>
              </w:rPr>
            </w:pPr>
            <w:r>
              <w:rPr>
                <w:rFonts w:eastAsia="Calibri"/>
                <w:b/>
                <w:bCs/>
                <w:lang w:eastAsia="fr-FR"/>
              </w:rPr>
              <w:t>The reference point for epoch time of the serving satellite ephemeris should be known by UE.</w:t>
            </w:r>
          </w:p>
          <w:p>
            <w:pPr>
              <w:widowControl w:val="0"/>
              <w:spacing w:after="0"/>
              <w:rPr>
                <w:rFonts w:eastAsia="Calibri"/>
                <w:b/>
                <w:bCs/>
                <w:lang w:eastAsia="fr-FR"/>
              </w:rPr>
            </w:pPr>
            <w:r>
              <w:rPr>
                <w:rFonts w:eastAsia="Calibri"/>
                <w:b/>
                <w:bCs/>
                <w:lang w:eastAsia="fr-FR"/>
              </w:rPr>
              <w:t>FFS: Whether it is satellite or the NTN-GW</w:t>
            </w:r>
          </w:p>
          <w:p>
            <w:pPr>
              <w:widowControl w:val="0"/>
            </w:pPr>
          </w:p>
          <w:p>
            <w:pPr>
              <w:widowControl w:val="0"/>
              <w:rPr>
                <w:b/>
                <w:highlight w:val="cyan"/>
              </w:rPr>
            </w:pPr>
            <w:r>
              <w:rPr>
                <w:b/>
                <w:highlight w:val="cyan"/>
              </w:rPr>
              <w:t xml:space="preserve">FL Recommendation: </w:t>
            </w:r>
          </w:p>
          <w:p>
            <w:pPr>
              <w:widowControl w:val="0"/>
              <w:spacing w:after="0"/>
              <w:rPr>
                <w:b/>
                <w:highlight w:val="cyan"/>
              </w:rPr>
            </w:pPr>
            <w:r>
              <w:rPr>
                <w:b/>
                <w:highlight w:val="cyan"/>
              </w:rPr>
              <w:t>For next RAN1 meeting, companies are encouraged:</w:t>
            </w:r>
          </w:p>
          <w:p>
            <w:pPr>
              <w:pStyle w:val="41"/>
              <w:widowControl w:val="0"/>
              <w:numPr>
                <w:ilvl w:val="0"/>
                <w:numId w:val="19"/>
              </w:numPr>
              <w:spacing w:after="0"/>
              <w:rPr>
                <w:b/>
                <w:highlight w:val="cyan"/>
              </w:rPr>
            </w:pPr>
            <w:r>
              <w:rPr>
                <w:b/>
                <w:highlight w:val="cyan"/>
              </w:rPr>
              <w:t>to further discuss and down select one of the above options (refer to Updated Proposal 11-1).</w:t>
            </w:r>
          </w:p>
          <w:p>
            <w:pPr>
              <w:widowControl w:val="0"/>
              <w:spacing w:after="0"/>
              <w:rPr>
                <w:b/>
              </w:rPr>
            </w:pPr>
          </w:p>
          <w:p>
            <w:pPr>
              <w:widowControl w:val="0"/>
              <w:spacing w:after="0"/>
              <w:rPr>
                <w:rFonts w:eastAsia="Calibri"/>
                <w:b/>
                <w:bCs/>
                <w:highlight w:val="cyan"/>
                <w:lang w:eastAsia="fr-FR"/>
              </w:rPr>
            </w:pPr>
            <w:r>
              <w:rPr>
                <w:b/>
                <w:highlight w:val="cyan"/>
              </w:rPr>
              <w:t xml:space="preserve">w.r.t </w:t>
            </w:r>
            <w:r>
              <w:rPr>
                <w:rFonts w:eastAsia="Calibri"/>
                <w:b/>
                <w:bCs/>
                <w:highlight w:val="cyan"/>
                <w:lang w:eastAsia="fr-FR"/>
              </w:rPr>
              <w:t>the reference point (similar to issue#3) companies are encouraged to provide views/inputs on:</w:t>
            </w:r>
          </w:p>
          <w:p>
            <w:pPr>
              <w:widowControl w:val="0"/>
              <w:spacing w:after="0"/>
              <w:rPr>
                <w:rFonts w:eastAsia="Calibri"/>
                <w:b/>
                <w:bCs/>
                <w:highlight w:val="cyan"/>
                <w:lang w:eastAsia="fr-FR"/>
              </w:rPr>
            </w:pPr>
          </w:p>
          <w:p>
            <w:pPr>
              <w:pStyle w:val="41"/>
              <w:widowControl w:val="0"/>
              <w:numPr>
                <w:ilvl w:val="0"/>
                <w:numId w:val="19"/>
              </w:numPr>
              <w:rPr>
                <w:rFonts w:eastAsia="Calibri"/>
                <w:b/>
                <w:bCs/>
                <w:highlight w:val="cyan"/>
                <w:lang w:eastAsia="fr-FR"/>
              </w:rPr>
            </w:pPr>
            <w:r>
              <w:rPr>
                <w:rFonts w:eastAsia="Calibri"/>
                <w:b/>
                <w:bCs/>
                <w:highlight w:val="cyan"/>
                <w:lang w:eastAsia="fr-FR"/>
              </w:rPr>
              <w:t>the reference point for epoch time of Serving satellite ephemeris</w:t>
            </w:r>
          </w:p>
          <w:p>
            <w:pPr>
              <w:pStyle w:val="41"/>
              <w:widowControl w:val="0"/>
              <w:numPr>
                <w:ilvl w:val="0"/>
                <w:numId w:val="19"/>
              </w:numPr>
              <w:rPr>
                <w:rFonts w:eastAsia="Calibri"/>
                <w:b/>
                <w:bCs/>
                <w:highlight w:val="cyan"/>
                <w:lang w:eastAsia="fr-FR"/>
              </w:rPr>
            </w:pPr>
            <w:r>
              <w:rPr>
                <w:rFonts w:eastAsia="Calibri"/>
                <w:b/>
                <w:bCs/>
                <w:highlight w:val="cyan"/>
                <w:lang w:eastAsia="fr-FR"/>
              </w:rPr>
              <w:t>whether it is satellite or the NTN-GW</w:t>
            </w:r>
          </w:p>
          <w:p>
            <w:pPr>
              <w:pStyle w:val="41"/>
              <w:widowControl w:val="0"/>
              <w:numPr>
                <w:ilvl w:val="0"/>
                <w:numId w:val="0"/>
              </w:numPr>
              <w:rPr>
                <w:rFonts w:eastAsia="MS Mincho"/>
                <w:b/>
                <w:bCs/>
              </w:rPr>
            </w:pPr>
          </w:p>
        </w:tc>
      </w:tr>
    </w:tbl>
    <w:p>
      <w:pPr>
        <w:pStyle w:val="33"/>
        <w:numPr>
          <w:ilvl w:val="0"/>
          <w:numId w:val="0"/>
        </w:numPr>
        <w:rPr>
          <w:rFonts w:cs="v4.2.0"/>
          <w:lang w:eastAsia="zh-CN"/>
        </w:rPr>
      </w:pPr>
    </w:p>
    <w:p>
      <w:pPr>
        <w:pStyle w:val="33"/>
        <w:numPr>
          <w:ilvl w:val="0"/>
          <w:numId w:val="0"/>
        </w:numPr>
        <w:rPr>
          <w:rFonts w:cs="v4.2.0"/>
          <w:lang w:eastAsia="zh-CN"/>
        </w:rPr>
      </w:pPr>
    </w:p>
    <w:p>
      <w:pPr>
        <w:spacing w:after="0"/>
        <w:rPr>
          <w:rFonts w:hint="default" w:eastAsia="宋体"/>
          <w:b/>
          <w:bCs/>
          <w:lang w:val="en-US" w:eastAsia="zh-CN"/>
        </w:rPr>
      </w:pPr>
      <w:r>
        <w:rPr>
          <w:rFonts w:eastAsia="Calibri"/>
          <w:b/>
          <w:bCs/>
          <w:lang w:eastAsia="fr-FR"/>
        </w:rPr>
        <w:t xml:space="preserve">Proposal </w:t>
      </w:r>
      <w:r>
        <w:rPr>
          <w:rFonts w:hint="eastAsia" w:eastAsia="Calibri"/>
          <w:b/>
          <w:bCs/>
          <w:lang w:val="en-US" w:eastAsia="zh-CN"/>
        </w:rPr>
        <w:t>11-1</w:t>
      </w:r>
      <w:r>
        <w:rPr>
          <w:rFonts w:eastAsia="Calibri"/>
          <w:b/>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
          <w:bCs/>
          <w:lang w:val="en-US" w:eastAsia="zh-CN"/>
        </w:rPr>
        <w:t xml:space="preserve"> And we prefer N is 0.</w:t>
      </w:r>
    </w:p>
    <w:p>
      <w:pPr>
        <w:pStyle w:val="33"/>
        <w:numPr>
          <w:ilvl w:val="0"/>
          <w:numId w:val="0"/>
        </w:numPr>
        <w:rPr>
          <w:rFonts w:cs="v4.2.0"/>
          <w:lang w:eastAsia="zh-CN"/>
        </w:rPr>
      </w:pPr>
    </w:p>
    <w:p>
      <w:pPr>
        <w:spacing w:after="0"/>
        <w:rPr>
          <w:rFonts w:hint="eastAsia" w:eastAsia="宋体"/>
          <w:b/>
          <w:bCs/>
          <w:lang w:val="en-US" w:eastAsia="zh-CN"/>
        </w:rPr>
      </w:pPr>
      <w:r>
        <w:rPr>
          <w:b/>
          <w:bCs/>
          <w:color w:val="000000"/>
        </w:rPr>
        <w:t xml:space="preserve">Proposal </w:t>
      </w:r>
      <w:r>
        <w:rPr>
          <w:rFonts w:hint="eastAsia"/>
          <w:b/>
          <w:bCs/>
          <w:color w:val="000000"/>
          <w:lang w:val="en-US" w:eastAsia="zh-CN"/>
        </w:rPr>
        <w:t>11-2</w:t>
      </w:r>
      <w:r>
        <w:rPr>
          <w:b/>
          <w:bCs/>
          <w:color w:val="000000"/>
        </w:rPr>
        <w:t xml:space="preserve">: </w:t>
      </w:r>
      <w:r>
        <w:rPr>
          <w:rFonts w:eastAsia="Calibri"/>
          <w:b/>
          <w:bCs/>
          <w:lang w:eastAsia="fr-FR"/>
        </w:rPr>
        <w:t xml:space="preserve">The reference point for epoch time of the serving satellite ephemeris should </w:t>
      </w:r>
      <w:r>
        <w:rPr>
          <w:rFonts w:hint="eastAsia"/>
          <w:b/>
          <w:bCs/>
          <w:lang w:val="en-US" w:eastAsia="zh-CN"/>
        </w:rPr>
        <w:t>be the</w:t>
      </w:r>
      <w:r>
        <w:rPr>
          <w:rFonts w:eastAsia="Calibri"/>
          <w:b/>
          <w:bCs/>
          <w:lang w:eastAsia="fr-FR"/>
        </w:rPr>
        <w:t xml:space="preserve"> satellite</w:t>
      </w:r>
      <w:r>
        <w:rPr>
          <w:rFonts w:hint="eastAsia"/>
          <w:b/>
          <w:bCs/>
          <w:lang w:val="en-US" w:eastAsia="zh-CN"/>
        </w:rPr>
        <w:t>.</w:t>
      </w:r>
    </w:p>
    <w:p>
      <w:pPr>
        <w:rPr>
          <w:rFonts w:hint="eastAsia" w:eastAsia="宋体"/>
          <w:b/>
          <w:bCs/>
          <w:color w:val="000000"/>
          <w:sz w:val="20"/>
          <w:highlight w:val="cyan"/>
          <w:lang w:val="en-US" w:eastAsia="zh-CN"/>
        </w:rPr>
      </w:pPr>
    </w:p>
    <w:p>
      <w:pPr>
        <w:rPr>
          <w:b/>
          <w:bCs/>
          <w:color w:val="000000"/>
          <w:sz w:val="20"/>
          <w:highlight w:val="cyan"/>
          <w:lang w:eastAsia="zh-CN"/>
        </w:rPr>
      </w:pPr>
    </w:p>
    <w:bookmarkEnd w:id="7"/>
    <w:p>
      <w:pPr>
        <w:rPr>
          <w:b/>
          <w:bCs/>
          <w:color w:val="000000"/>
          <w:sz w:val="20"/>
          <w:highlight w:val="cyan"/>
          <w:lang w:eastAsia="zh-CN"/>
        </w:rPr>
      </w:pPr>
      <w:r>
        <w:rPr>
          <w:b/>
          <w:bCs/>
          <w:color w:val="000000"/>
          <w:sz w:val="20"/>
          <w:highlight w:val="cyan"/>
          <w:lang w:eastAsia="zh-CN"/>
        </w:rPr>
        <w:br w:type="page"/>
      </w:r>
    </w:p>
    <w:p>
      <w:pPr>
        <w:rPr>
          <w:b/>
          <w:bCs/>
          <w:color w:val="000000"/>
          <w:sz w:val="20"/>
          <w:highlight w:val="cyan"/>
          <w:lang w:eastAsia="zh-CN"/>
        </w:rPr>
      </w:pPr>
    </w:p>
    <w:p>
      <w:pPr>
        <w:pStyle w:val="2"/>
      </w:pPr>
      <w:bookmarkStart w:id="19" w:name="_GoBack"/>
      <w:r>
        <w:t>Conclusion</w:t>
      </w:r>
    </w:p>
    <w:bookmarkEnd w:id="19"/>
    <w:p>
      <w:r>
        <w:t xml:space="preserve">In this contribution, we further discuss </w:t>
      </w:r>
      <w:r>
        <w:rPr>
          <w:rFonts w:hint="eastAsia"/>
          <w:lang w:eastAsia="zh-CN"/>
        </w:rPr>
        <w:t xml:space="preserve">some of </w:t>
      </w:r>
      <w:r>
        <w:t>the issue</w:t>
      </w:r>
      <w:r>
        <w:rPr>
          <w:rFonts w:hint="eastAsia"/>
          <w:lang w:eastAsia="zh-CN"/>
        </w:rPr>
        <w:t>s</w:t>
      </w:r>
      <w:r>
        <w:t xml:space="preserve"> of UL time and frequency synchronization enhancement for NTN, the following observations and proposals are presented:</w:t>
      </w:r>
    </w:p>
    <w:p>
      <w:pPr>
        <w:rPr>
          <w:rFonts w:hint="default"/>
          <w:b/>
          <w:bCs/>
          <w:lang w:val="en-US" w:eastAsia="zh-CN"/>
        </w:rPr>
      </w:pPr>
      <w:bookmarkStart w:id="13" w:name="_Ref71620620"/>
      <w:bookmarkStart w:id="14" w:name="_Ref124671424"/>
      <w:bookmarkStart w:id="15" w:name="_Ref124589665"/>
      <w:r>
        <w:rPr>
          <w:rFonts w:hint="eastAsia"/>
          <w:b/>
          <w:bCs/>
          <w:color w:val="000000"/>
          <w:lang w:val="en-US" w:eastAsia="zh-CN"/>
        </w:rPr>
        <w:t>Observation 1</w:t>
      </w:r>
      <w:r>
        <w:rPr>
          <w:b/>
          <w:bCs/>
          <w:color w:val="000000"/>
        </w:rPr>
        <w:t xml:space="preserve">: </w:t>
      </w:r>
      <w:r>
        <w:rPr>
          <w:rFonts w:hint="eastAsia"/>
          <w:b/>
          <w:bCs/>
          <w:szCs w:val="22"/>
          <w:lang w:val="en-US" w:eastAsia="zh-CN"/>
        </w:rPr>
        <w:t xml:space="preserve"> If precision level of the 1st and 2nd order derivatives is low, higher order derivative may not achieve the expected result. </w:t>
      </w:r>
    </w:p>
    <w:p>
      <w:pPr>
        <w:rPr>
          <w:rFonts w:hint="default"/>
          <w:b/>
          <w:bCs/>
          <w:lang w:val="en-US" w:eastAsia="zh-CN"/>
        </w:rPr>
      </w:pPr>
      <w:r>
        <w:rPr>
          <w:rFonts w:hint="eastAsia"/>
          <w:b/>
          <w:bCs/>
          <w:color w:val="000000"/>
          <w:lang w:val="en-US" w:eastAsia="zh-CN"/>
        </w:rPr>
        <w:t>Proposal 1</w:t>
      </w:r>
      <w:r>
        <w:rPr>
          <w:b/>
          <w:bCs/>
          <w:color w:val="000000"/>
        </w:rPr>
        <w:t xml:space="preserve">: </w:t>
      </w:r>
      <w:r>
        <w:rPr>
          <w:rFonts w:hint="eastAsia"/>
          <w:b/>
          <w:bCs/>
          <w:szCs w:val="22"/>
          <w:lang w:val="en-US" w:eastAsia="zh-CN"/>
        </w:rPr>
        <w:t>Indication of Common TA drift parameters should be considered together with their p</w:t>
      </w:r>
      <w:r>
        <w:rPr>
          <w:rFonts w:hint="eastAsia"/>
          <w:b/>
          <w:bCs/>
          <w:lang w:val="en-US" w:eastAsia="zh-CN"/>
        </w:rPr>
        <w:t>recision level.</w:t>
      </w:r>
    </w:p>
    <w:p>
      <w:pPr>
        <w:rPr>
          <w:rFonts w:hint="default"/>
          <w:b/>
          <w:bCs/>
          <w:lang w:val="en-US" w:eastAsia="zh-CN"/>
        </w:rPr>
      </w:pPr>
      <w:r>
        <w:rPr>
          <w:rFonts w:hint="eastAsia"/>
          <w:b/>
          <w:bCs/>
          <w:color w:val="000000"/>
          <w:lang w:val="en-US" w:eastAsia="zh-CN"/>
        </w:rPr>
        <w:t>Observation 2</w:t>
      </w:r>
      <w:r>
        <w:rPr>
          <w:b/>
          <w:bCs/>
          <w:color w:val="000000"/>
        </w:rPr>
        <w:t xml:space="preserve">: </w:t>
      </w:r>
      <w:r>
        <w:rPr>
          <w:rFonts w:hint="eastAsia"/>
          <w:b/>
          <w:bCs/>
          <w:szCs w:val="22"/>
          <w:lang w:val="en-US" w:eastAsia="zh-CN"/>
        </w:rPr>
        <w:t xml:space="preserve"> I</w:t>
      </w:r>
      <w:r>
        <w:rPr>
          <w:rFonts w:hint="eastAsia"/>
          <w:b/>
          <w:bCs/>
          <w:lang w:val="en-US" w:eastAsia="zh-CN"/>
        </w:rPr>
        <w:t xml:space="preserve">t is still unclear about the precision level of Common TA drift rate and Common TA drift rate variation. </w:t>
      </w:r>
    </w:p>
    <w:p>
      <w:pPr>
        <w:rPr>
          <w:rFonts w:hint="default"/>
          <w:b/>
          <w:bCs/>
          <w:lang w:val="en-US" w:eastAsia="zh-CN"/>
        </w:rPr>
      </w:pPr>
      <w:r>
        <w:rPr>
          <w:rFonts w:hint="eastAsia"/>
          <w:b/>
          <w:bCs/>
          <w:color w:val="000000"/>
          <w:lang w:val="en-US" w:eastAsia="zh-CN"/>
        </w:rPr>
        <w:t>Proposal 2</w:t>
      </w:r>
      <w:r>
        <w:rPr>
          <w:b/>
          <w:bCs/>
          <w:color w:val="000000"/>
        </w:rPr>
        <w:t xml:space="preserve">: </w:t>
      </w:r>
      <w:r>
        <w:rPr>
          <w:rFonts w:hint="eastAsia"/>
          <w:b/>
          <w:bCs/>
          <w:szCs w:val="22"/>
          <w:lang w:val="en-US" w:eastAsia="zh-CN"/>
        </w:rPr>
        <w:t xml:space="preserve">Clarify </w:t>
      </w:r>
      <w:r>
        <w:rPr>
          <w:rFonts w:hint="eastAsia"/>
          <w:b/>
          <w:bCs/>
          <w:lang w:val="en-US" w:eastAsia="zh-CN"/>
        </w:rPr>
        <w:t xml:space="preserve">the precision level of Common TA drift rate and Common TA drift rate variation. </w:t>
      </w:r>
    </w:p>
    <w:p>
      <w:pPr>
        <w:rPr>
          <w:b/>
          <w:bCs/>
          <w:color w:val="000000"/>
        </w:rPr>
      </w:pPr>
      <w:r>
        <w:rPr>
          <w:b/>
          <w:bCs/>
          <w:color w:val="000000"/>
        </w:rPr>
        <w:t xml:space="preserve">Proposal </w:t>
      </w:r>
      <w:r>
        <w:rPr>
          <w:rFonts w:hint="eastAsia"/>
          <w:b/>
          <w:bCs/>
          <w:color w:val="000000"/>
          <w:lang w:val="en-US" w:eastAsia="zh-CN"/>
        </w:rPr>
        <w:t>3-1</w:t>
      </w:r>
      <w:r>
        <w:rPr>
          <w:b/>
          <w:bCs/>
          <w:color w:val="000000"/>
        </w:rPr>
        <w:t xml:space="preserve">: </w:t>
      </w:r>
      <w:r>
        <w:rPr>
          <w:rFonts w:hint="eastAsia"/>
          <w:b/>
          <w:bCs/>
          <w:color w:val="000000"/>
          <w:lang w:val="en-US" w:eastAsia="zh-CN"/>
        </w:rPr>
        <w:t>Common TA Epoch time is implicitly know as a reference time defined by the starting time of a DL slot and/or frame, which is given by predefined rule.</w:t>
      </w:r>
    </w:p>
    <w:p>
      <w:pPr>
        <w:rPr>
          <w:rFonts w:hint="eastAsia"/>
          <w:b/>
          <w:bCs/>
          <w:color w:val="000000"/>
          <w:lang w:val="en-US" w:eastAsia="zh-CN"/>
        </w:rPr>
      </w:pPr>
      <w:r>
        <w:rPr>
          <w:b/>
          <w:bCs/>
          <w:color w:val="000000"/>
        </w:rPr>
        <w:t xml:space="preserve">Proposal </w:t>
      </w:r>
      <w:r>
        <w:rPr>
          <w:rFonts w:hint="eastAsia"/>
          <w:b/>
          <w:bCs/>
          <w:color w:val="000000"/>
          <w:lang w:val="en-US" w:eastAsia="zh-CN"/>
        </w:rPr>
        <w:t>3-2</w:t>
      </w:r>
      <w:r>
        <w:rPr>
          <w:b/>
          <w:bCs/>
          <w:color w:val="000000"/>
        </w:rPr>
        <w:t xml:space="preserve">: </w:t>
      </w:r>
      <w:r>
        <w:rPr>
          <w:b/>
          <w:bCs/>
          <w:color w:val="000000"/>
          <w:lang w:eastAsia="fr-FR"/>
        </w:rPr>
        <w:t>The reference point for epoch time of the Common TA parameters should be satellite</w:t>
      </w:r>
      <w:r>
        <w:rPr>
          <w:rFonts w:hint="eastAsia"/>
          <w:b/>
          <w:bCs/>
          <w:color w:val="000000"/>
          <w:lang w:val="en-US" w:eastAsia="zh-CN"/>
        </w:rPr>
        <w:t>.</w:t>
      </w:r>
    </w:p>
    <w:p>
      <w:pPr>
        <w:rPr>
          <w:rFonts w:hint="eastAsia"/>
          <w:b/>
          <w:bCs/>
          <w:color w:val="000000"/>
          <w:lang w:val="en-US" w:eastAsia="zh-CN"/>
        </w:rPr>
      </w:pPr>
      <w:r>
        <w:rPr>
          <w:rFonts w:hint="eastAsia"/>
          <w:b/>
          <w:bCs/>
          <w:color w:val="000000"/>
          <w:lang w:val="en-US" w:eastAsia="zh-CN"/>
        </w:rPr>
        <w:t>Proposal 4-1: If the UE advances its initial transmission w.r.t PRACH occasion, the TA to be sent in TAC/RAR should be 0.</w:t>
      </w:r>
    </w:p>
    <w:p>
      <w:pPr>
        <w:rPr>
          <w:rFonts w:hint="default"/>
          <w:b/>
          <w:bCs/>
          <w:color w:val="000000"/>
          <w:lang w:val="en-US" w:eastAsia="zh-CN"/>
        </w:rPr>
      </w:pPr>
      <w:r>
        <w:rPr>
          <w:b/>
          <w:bCs/>
          <w:color w:val="000000"/>
        </w:rPr>
        <w:t xml:space="preserve">Proposal </w:t>
      </w:r>
      <w:r>
        <w:rPr>
          <w:rFonts w:hint="eastAsia"/>
          <w:b/>
          <w:bCs/>
          <w:color w:val="000000"/>
          <w:lang w:val="en-US" w:eastAsia="zh-CN"/>
        </w:rPr>
        <w:t>4-2</w:t>
      </w:r>
      <w:r>
        <w:rPr>
          <w:b/>
          <w:bCs/>
          <w:color w:val="000000"/>
        </w:rPr>
        <w:t xml:space="preserve">: </w:t>
      </w:r>
      <w:r>
        <w:rPr>
          <w:rFonts w:hint="eastAsia"/>
          <w:b/>
          <w:bCs/>
          <w:color w:val="000000"/>
          <w:lang w:val="en-US" w:eastAsia="zh-CN"/>
        </w:rPr>
        <w:t>TAcommon should not include a timing offset. This issue can be up to implementation.</w:t>
      </w:r>
    </w:p>
    <w:p>
      <w:pPr>
        <w:rPr>
          <w:rFonts w:hint="eastAsia"/>
          <w:b/>
          <w:bCs/>
          <w:color w:val="000000"/>
          <w:lang w:val="en-US" w:eastAsia="zh-CN"/>
        </w:rPr>
      </w:pPr>
      <w:r>
        <w:rPr>
          <w:rFonts w:hint="eastAsia"/>
          <w:b/>
          <w:bCs/>
          <w:color w:val="000000"/>
          <w:lang w:val="en-US" w:eastAsia="zh-CN"/>
        </w:rPr>
        <w:t>Observation 5-1</w:t>
      </w:r>
      <w:r>
        <w:rPr>
          <w:b/>
          <w:bCs/>
          <w:color w:val="000000"/>
        </w:rPr>
        <w:t xml:space="preserve">: </w:t>
      </w:r>
      <w:r>
        <w:rPr>
          <w:rFonts w:hint="eastAsia"/>
          <w:b/>
          <w:bCs/>
          <w:color w:val="000000"/>
          <w:lang w:val="en-US" w:eastAsia="zh-CN"/>
        </w:rPr>
        <w:t>If  parameters for open-loop TA are updated but the close-loop TA</w:t>
      </w:r>
      <w:r>
        <w:rPr>
          <w:b/>
          <w:bCs/>
          <w:color w:val="000000"/>
        </w:rPr>
        <w:t xml:space="preserve"> is</w:t>
      </w:r>
      <w:r>
        <w:rPr>
          <w:rFonts w:hint="eastAsia"/>
          <w:b/>
          <w:bCs/>
          <w:color w:val="000000"/>
          <w:lang w:val="en-US" w:eastAsia="zh-CN"/>
        </w:rPr>
        <w:t xml:space="preserve"> not reset to 0, large error will be introduced to the UE</w:t>
      </w:r>
      <w:r>
        <w:rPr>
          <w:rFonts w:hint="default"/>
          <w:b/>
          <w:bCs/>
          <w:color w:val="000000"/>
          <w:lang w:val="en-US" w:eastAsia="zh-CN"/>
        </w:rPr>
        <w:t>’</w:t>
      </w:r>
      <w:r>
        <w:rPr>
          <w:rFonts w:hint="eastAsia"/>
          <w:b/>
          <w:bCs/>
          <w:color w:val="000000"/>
          <w:lang w:val="en-US" w:eastAsia="zh-CN"/>
        </w:rPr>
        <w:t>s total</w:t>
      </w:r>
      <w:r>
        <w:rPr>
          <w:b/>
          <w:bCs/>
          <w:color w:val="000000"/>
        </w:rPr>
        <w:t xml:space="preserve"> </w:t>
      </w:r>
      <w:r>
        <w:rPr>
          <w:rFonts w:hint="eastAsia"/>
          <w:b/>
          <w:bCs/>
          <w:color w:val="000000"/>
          <w:lang w:val="en-US" w:eastAsia="zh-CN"/>
        </w:rPr>
        <w:t xml:space="preserve">TA due to </w:t>
      </w:r>
      <w:r>
        <w:rPr>
          <w:rFonts w:hint="default"/>
          <w:b/>
          <w:bCs/>
          <w:color w:val="000000"/>
          <w:lang w:val="en-US" w:eastAsia="zh-CN"/>
        </w:rPr>
        <w:t>“</w:t>
      </w:r>
      <w:r>
        <w:rPr>
          <w:rFonts w:hint="eastAsia"/>
          <w:b/>
          <w:bCs/>
          <w:color w:val="000000"/>
          <w:lang w:val="en-US" w:eastAsia="zh-CN"/>
        </w:rPr>
        <w:t>double correction</w:t>
      </w:r>
      <w:r>
        <w:rPr>
          <w:rFonts w:hint="default"/>
          <w:b/>
          <w:bCs/>
          <w:color w:val="000000"/>
          <w:lang w:val="en-US" w:eastAsia="zh-CN"/>
        </w:rPr>
        <w:t>”</w:t>
      </w:r>
      <w:r>
        <w:rPr>
          <w:rFonts w:hint="eastAsia"/>
          <w:b/>
          <w:bCs/>
          <w:color w:val="000000"/>
          <w:lang w:val="en-US" w:eastAsia="zh-CN"/>
        </w:rPr>
        <w:t xml:space="preserve">. </w:t>
      </w:r>
    </w:p>
    <w:p>
      <w:pPr>
        <w:rPr>
          <w:rFonts w:hint="eastAsia"/>
          <w:b/>
          <w:bCs/>
          <w:color w:val="000000"/>
          <w:lang w:val="en-US" w:eastAsia="zh-CN"/>
        </w:rPr>
      </w:pPr>
      <w:r>
        <w:rPr>
          <w:rFonts w:hint="eastAsia"/>
          <w:b/>
          <w:bCs/>
          <w:color w:val="000000"/>
          <w:lang w:val="en-US" w:eastAsia="zh-CN"/>
        </w:rPr>
        <w:t>Proposal 5-1</w:t>
      </w:r>
      <w:r>
        <w:rPr>
          <w:b/>
          <w:bCs/>
          <w:color w:val="000000"/>
        </w:rPr>
        <w:t xml:space="preserve">: </w:t>
      </w:r>
      <w:r>
        <w:rPr>
          <w:rFonts w:hint="eastAsia"/>
          <w:b/>
          <w:bCs/>
          <w:color w:val="000000"/>
          <w:lang w:val="en-US" w:eastAsia="zh-CN"/>
        </w:rPr>
        <w:t>If  parameters for open-loop TA are updated, the close-loop TA</w:t>
      </w:r>
      <w:r>
        <w:rPr>
          <w:b/>
          <w:bCs/>
          <w:color w:val="000000"/>
        </w:rPr>
        <w:t xml:space="preserve"> </w:t>
      </w:r>
      <w:r>
        <w:rPr>
          <w:rFonts w:hint="eastAsia"/>
          <w:b/>
          <w:bCs/>
          <w:color w:val="000000"/>
          <w:lang w:val="en-US" w:eastAsia="zh-CN"/>
        </w:rPr>
        <w:t xml:space="preserve">should be reset to 0 to avoid </w:t>
      </w:r>
      <w:r>
        <w:rPr>
          <w:rFonts w:hint="default"/>
          <w:b/>
          <w:bCs/>
          <w:color w:val="000000"/>
          <w:lang w:val="en-US" w:eastAsia="zh-CN"/>
        </w:rPr>
        <w:t>“</w:t>
      </w:r>
      <w:r>
        <w:rPr>
          <w:rFonts w:hint="eastAsia"/>
          <w:b/>
          <w:bCs/>
          <w:color w:val="000000"/>
          <w:lang w:val="en-US" w:eastAsia="zh-CN"/>
        </w:rPr>
        <w:t>double correction</w:t>
      </w:r>
      <w:r>
        <w:rPr>
          <w:rFonts w:hint="default"/>
          <w:b/>
          <w:bCs/>
          <w:color w:val="000000"/>
          <w:lang w:val="en-US" w:eastAsia="zh-CN"/>
        </w:rPr>
        <w:t>”</w:t>
      </w:r>
      <w:r>
        <w:rPr>
          <w:rFonts w:hint="eastAsia"/>
          <w:b/>
          <w:bCs/>
          <w:color w:val="000000"/>
          <w:lang w:val="en-US" w:eastAsia="zh-CN"/>
        </w:rPr>
        <w:t xml:space="preserve">. </w:t>
      </w:r>
    </w:p>
    <w:p>
      <w:pPr>
        <w:rPr>
          <w:rFonts w:hint="eastAsia"/>
          <w:b/>
          <w:bCs/>
          <w:color w:val="auto"/>
          <w:lang w:val="en-US" w:eastAsia="zh-CN"/>
        </w:rPr>
      </w:pPr>
      <w:r>
        <w:rPr>
          <w:b/>
          <w:bCs/>
          <w:color w:val="auto"/>
        </w:rPr>
        <w:t xml:space="preserve">Proposal </w:t>
      </w:r>
      <w:r>
        <w:rPr>
          <w:rFonts w:hint="eastAsia"/>
          <w:b/>
          <w:bCs/>
          <w:color w:val="auto"/>
          <w:lang w:val="en-US" w:eastAsia="zh-CN"/>
        </w:rPr>
        <w:t>7-1</w:t>
      </w:r>
      <w:r>
        <w:rPr>
          <w:b/>
          <w:bCs/>
          <w:color w:val="auto"/>
        </w:rPr>
        <w:t>:</w:t>
      </w:r>
      <w:r>
        <w:rPr>
          <w:rFonts w:hint="eastAsia"/>
          <w:b/>
          <w:bCs/>
          <w:color w:val="auto"/>
          <w:lang w:val="en-US" w:eastAsia="zh-CN"/>
        </w:rPr>
        <w:t xml:space="preserve"> </w:t>
      </w:r>
      <w:r>
        <w:rPr>
          <w:b/>
          <w:bCs/>
          <w:color w:val="auto"/>
        </w:rPr>
        <w:t>The Validity duration for both serving satellite ephemeris and common TA related parameters is at least broadcast on the SIB</w:t>
      </w:r>
      <w:r>
        <w:rPr>
          <w:rFonts w:hint="eastAsia"/>
          <w:b/>
          <w:bCs/>
          <w:color w:val="auto"/>
          <w:lang w:val="en-US" w:eastAsia="zh-CN"/>
        </w:rPr>
        <w:t>. I</w:t>
      </w:r>
      <w:r>
        <w:rPr>
          <w:b/>
          <w:bCs/>
          <w:color w:val="auto"/>
        </w:rPr>
        <w:t>t is defined per cell</w:t>
      </w:r>
      <w:r>
        <w:rPr>
          <w:rFonts w:hint="eastAsia"/>
          <w:b/>
          <w:bCs/>
          <w:color w:val="auto"/>
          <w:lang w:val="en-US" w:eastAsia="zh-CN"/>
        </w:rPr>
        <w:t>.</w:t>
      </w:r>
    </w:p>
    <w:p>
      <w:pPr>
        <w:rPr>
          <w:b/>
          <w:bCs/>
          <w:color w:val="auto"/>
        </w:rPr>
      </w:pPr>
      <w:r>
        <w:rPr>
          <w:b/>
          <w:bCs/>
          <w:color w:val="auto"/>
        </w:rPr>
        <w:t xml:space="preserve">Proposal </w:t>
      </w:r>
      <w:r>
        <w:rPr>
          <w:rFonts w:hint="eastAsia"/>
          <w:b/>
          <w:bCs/>
          <w:color w:val="auto"/>
          <w:lang w:val="en-US" w:eastAsia="zh-CN"/>
        </w:rPr>
        <w:t>7-2</w:t>
      </w:r>
      <w:r>
        <w:rPr>
          <w:b/>
          <w:bCs/>
          <w:color w:val="auto"/>
        </w:rPr>
        <w:t>:</w:t>
      </w:r>
      <w:r>
        <w:rPr>
          <w:rFonts w:hint="eastAsia"/>
          <w:b/>
          <w:bCs/>
          <w:color w:val="auto"/>
          <w:lang w:val="en-US" w:eastAsia="zh-CN"/>
        </w:rPr>
        <w:t xml:space="preserve"> P</w:t>
      </w:r>
      <w:r>
        <w:rPr>
          <w:b/>
          <w:bCs/>
          <w:color w:val="auto"/>
        </w:rPr>
        <w:t>rovide the Validity duration using dedicated signalling when UE is RRC connected, e.g. if UE is not configured with common search space.</w:t>
      </w:r>
    </w:p>
    <w:p>
      <w:pPr>
        <w:spacing w:after="0"/>
        <w:rPr>
          <w:rFonts w:hint="default" w:eastAsia="宋体"/>
          <w:b/>
          <w:bCs/>
          <w:lang w:val="en-US" w:eastAsia="zh-CN"/>
        </w:rPr>
      </w:pPr>
      <w:r>
        <w:rPr>
          <w:rFonts w:eastAsia="Calibri"/>
          <w:b/>
          <w:bCs/>
          <w:lang w:eastAsia="fr-FR"/>
        </w:rPr>
        <w:t xml:space="preserve">Proposal </w:t>
      </w:r>
      <w:r>
        <w:rPr>
          <w:rFonts w:hint="eastAsia" w:eastAsia="Calibri"/>
          <w:b/>
          <w:bCs/>
          <w:lang w:val="en-US" w:eastAsia="zh-CN"/>
        </w:rPr>
        <w:t>11-1</w:t>
      </w:r>
      <w:r>
        <w:rPr>
          <w:rFonts w:eastAsia="Calibri"/>
          <w:b/>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
          <w:bCs/>
          <w:lang w:val="en-US" w:eastAsia="zh-CN"/>
        </w:rPr>
        <w:t xml:space="preserve"> And we prefer N is 0.</w:t>
      </w:r>
    </w:p>
    <w:p>
      <w:pPr>
        <w:spacing w:after="0"/>
        <w:rPr>
          <w:rFonts w:hint="eastAsia" w:eastAsia="宋体"/>
          <w:b/>
          <w:bCs/>
          <w:lang w:val="en-US" w:eastAsia="zh-CN"/>
        </w:rPr>
      </w:pPr>
      <w:r>
        <w:rPr>
          <w:b/>
          <w:bCs/>
          <w:color w:val="000000"/>
        </w:rPr>
        <w:t xml:space="preserve">Proposal </w:t>
      </w:r>
      <w:r>
        <w:rPr>
          <w:rFonts w:hint="eastAsia"/>
          <w:b/>
          <w:bCs/>
          <w:color w:val="000000"/>
          <w:lang w:val="en-US" w:eastAsia="zh-CN"/>
        </w:rPr>
        <w:t>11-2</w:t>
      </w:r>
      <w:r>
        <w:rPr>
          <w:b/>
          <w:bCs/>
          <w:color w:val="000000"/>
        </w:rPr>
        <w:t xml:space="preserve">: </w:t>
      </w:r>
      <w:r>
        <w:rPr>
          <w:rFonts w:eastAsia="Calibri"/>
          <w:b/>
          <w:bCs/>
          <w:lang w:eastAsia="fr-FR"/>
        </w:rPr>
        <w:t xml:space="preserve">The reference point for epoch time of the serving satellite ephemeris should </w:t>
      </w:r>
      <w:r>
        <w:rPr>
          <w:rFonts w:hint="eastAsia"/>
          <w:b/>
          <w:bCs/>
          <w:lang w:val="en-US" w:eastAsia="zh-CN"/>
        </w:rPr>
        <w:t>be the</w:t>
      </w:r>
      <w:r>
        <w:rPr>
          <w:rFonts w:eastAsia="Calibri"/>
          <w:b/>
          <w:bCs/>
          <w:lang w:eastAsia="fr-FR"/>
        </w:rPr>
        <w:t xml:space="preserve"> satellite</w:t>
      </w:r>
      <w:r>
        <w:rPr>
          <w:rFonts w:hint="eastAsia"/>
          <w:b/>
          <w:bCs/>
          <w:lang w:val="en-US" w:eastAsia="zh-CN"/>
        </w:rPr>
        <w:t>.</w:t>
      </w:r>
    </w:p>
    <w:p>
      <w:pPr>
        <w:rPr>
          <w:b/>
          <w:bCs/>
          <w:color w:val="auto"/>
        </w:rPr>
      </w:pPr>
    </w:p>
    <w:p>
      <w:pPr>
        <w:rPr>
          <w:rFonts w:hint="default"/>
          <w:b/>
          <w:bCs/>
          <w:color w:val="000000"/>
          <w:lang w:val="en-US" w:eastAsia="zh-CN"/>
        </w:rPr>
      </w:pPr>
    </w:p>
    <w:p>
      <w:pPr>
        <w:rPr>
          <w:rFonts w:hint="eastAsia"/>
          <w:b/>
          <w:bCs/>
          <w:lang w:val="en-US" w:eastAsia="zh-CN"/>
        </w:rPr>
      </w:pPr>
    </w:p>
    <w:p>
      <w:pPr>
        <w:rPr>
          <w:b/>
          <w:lang w:val="en-GB" w:eastAsia="zh-CN"/>
        </w:rPr>
      </w:pPr>
    </w:p>
    <w:p>
      <w:pPr>
        <w:pStyle w:val="2"/>
        <w:numPr>
          <w:ilvl w:val="0"/>
          <w:numId w:val="0"/>
        </w:numPr>
        <w:ind w:left="432" w:hanging="432"/>
      </w:pPr>
      <w:r>
        <w:t>References</w:t>
      </w:r>
    </w:p>
    <w:bookmarkEnd w:id="13"/>
    <w:bookmarkEnd w:id="14"/>
    <w:bookmarkEnd w:id="15"/>
    <w:p>
      <w:pPr>
        <w:pStyle w:val="33"/>
        <w:numPr>
          <w:ilvl w:val="0"/>
          <w:numId w:val="20"/>
        </w:numPr>
        <w:rPr>
          <w:lang w:eastAsia="zh-CN"/>
        </w:rPr>
      </w:pPr>
      <w:bookmarkStart w:id="16" w:name="_Ref20487234"/>
      <w:bookmarkStart w:id="17" w:name="_Ref20773032"/>
      <w:bookmarkStart w:id="18" w:name="_Ref525819223"/>
      <w:r>
        <w:rPr>
          <w:rFonts w:hint="eastAsia"/>
          <w:lang w:eastAsia="zh-CN"/>
        </w:rPr>
        <w:t>3</w:t>
      </w:r>
      <w:r>
        <w:rPr>
          <w:lang w:eastAsia="zh-CN"/>
        </w:rPr>
        <w:t>GPP</w:t>
      </w:r>
      <w:r>
        <w:rPr>
          <w:rFonts w:hint="eastAsia"/>
          <w:lang w:eastAsia="zh-CN"/>
        </w:rPr>
        <w:t xml:space="preserve"> R</w:t>
      </w:r>
      <w:r>
        <w:rPr>
          <w:lang w:eastAsia="zh-CN"/>
        </w:rPr>
        <w:t>AN</w:t>
      </w:r>
      <w:r>
        <w:rPr>
          <w:rFonts w:hint="eastAsia"/>
          <w:lang w:eastAsia="zh-CN"/>
        </w:rPr>
        <w:t>1</w:t>
      </w:r>
      <w:r>
        <w:rPr>
          <w:lang w:eastAsia="zh-CN"/>
        </w:rPr>
        <w:t>#10</w:t>
      </w:r>
      <w:r>
        <w:rPr>
          <w:rFonts w:hint="eastAsia"/>
          <w:lang w:val="en-US" w:eastAsia="zh-CN"/>
        </w:rPr>
        <w:t>6bis</w:t>
      </w:r>
      <w:r>
        <w:rPr>
          <w:lang w:eastAsia="zh-CN"/>
        </w:rPr>
        <w:t>-e</w:t>
      </w:r>
      <w:r>
        <w:rPr>
          <w:rFonts w:hint="eastAsia"/>
          <w:lang w:eastAsia="zh-CN"/>
        </w:rPr>
        <w:t>,</w:t>
      </w:r>
      <w:r>
        <w:rPr>
          <w:lang w:eastAsia="zh-CN"/>
        </w:rPr>
        <w:t xml:space="preserve"> chairman notes.</w:t>
      </w:r>
    </w:p>
    <w:p>
      <w:pPr>
        <w:pStyle w:val="33"/>
        <w:numPr>
          <w:ilvl w:val="0"/>
          <w:numId w:val="20"/>
        </w:numPr>
        <w:rPr>
          <w:lang w:eastAsia="zh-CN"/>
        </w:rPr>
      </w:pPr>
      <w:r>
        <w:rPr>
          <w:rFonts w:ascii="Times New Roman" w:hAnsi="Times New Roman" w:cs="Times New Roman"/>
        </w:rPr>
        <w:t>FL Summary #6 on enhancements on UL time and frequency synchronization for NR NTN</w:t>
      </w:r>
      <w:r>
        <w:rPr>
          <w:rFonts w:hint="eastAsia"/>
          <w:lang w:eastAsia="zh-CN"/>
        </w:rPr>
        <w:t>.</w:t>
      </w:r>
    </w:p>
    <w:bookmarkEnd w:id="16"/>
    <w:bookmarkEnd w:id="17"/>
    <w:bookmarkEnd w:id="18"/>
    <w:p>
      <w:pPr>
        <w:pStyle w:val="33"/>
        <w:numPr>
          <w:ilvl w:val="0"/>
          <w:numId w:val="0"/>
        </w:numPr>
        <w:rPr>
          <w:rFonts w:cs="v4.2.0"/>
          <w:lang w:eastAsia="zh-CN"/>
        </w:rPr>
      </w:pPr>
    </w:p>
    <w:p>
      <w:pPr>
        <w:pStyle w:val="33"/>
        <w:numPr>
          <w:ilvl w:val="0"/>
          <w:numId w:val="0"/>
        </w:numPr>
        <w:rPr>
          <w:rFonts w:cs="v4.2.0"/>
          <w:lang w:eastAsia="zh-CN"/>
        </w:rPr>
      </w:pPr>
    </w:p>
    <w:sectPr>
      <w:pgSz w:w="11909" w:h="16834"/>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404D3"/>
    <w:multiLevelType w:val="multilevel"/>
    <w:tmpl w:val="096404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A5D3E99"/>
    <w:multiLevelType w:val="multilevel"/>
    <w:tmpl w:val="0A5D3E99"/>
    <w:lvl w:ilvl="0" w:tentative="0">
      <w:start w:val="1"/>
      <w:numFmt w:val="decimal"/>
      <w:lvlText w:val="[%1]"/>
      <w:lvlJc w:val="left"/>
      <w:pPr>
        <w:ind w:left="420" w:hanging="420"/>
      </w:pPr>
      <w:rPr>
        <w:rFonts w:hint="eastAsia"/>
        <w:sz w:val="20"/>
        <w:szCs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400C5F"/>
    <w:multiLevelType w:val="multilevel"/>
    <w:tmpl w:val="0D400C5F"/>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3F6118"/>
    <w:multiLevelType w:val="multilevel"/>
    <w:tmpl w:val="113F611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19453321"/>
    <w:multiLevelType w:val="multilevel"/>
    <w:tmpl w:val="19453321"/>
    <w:lvl w:ilvl="0" w:tentative="0">
      <w:start w:val="0"/>
      <w:numFmt w:val="bullet"/>
      <w:lvlText w:val="•"/>
      <w:lvlJc w:val="left"/>
      <w:pPr>
        <w:ind w:left="600" w:hanging="360"/>
      </w:pPr>
      <w:rPr>
        <w:rFonts w:hint="default" w:ascii="Times New Roman" w:hAnsi="Times New Roman" w:eastAsia="宋体" w:cs="Times New Roman"/>
      </w:rPr>
    </w:lvl>
    <w:lvl w:ilvl="1" w:tentative="0">
      <w:start w:val="5"/>
      <w:numFmt w:val="bullet"/>
      <w:lvlText w:val="-"/>
      <w:lvlJc w:val="left"/>
      <w:pPr>
        <w:ind w:left="1080" w:hanging="420"/>
      </w:pPr>
      <w:rPr>
        <w:rFonts w:hint="default" w:ascii="Times New Roman" w:hAnsi="Times New Roman" w:cs="Times New Roman" w:eastAsiaTheme="minorEastAsia"/>
      </w:rPr>
    </w:lvl>
    <w:lvl w:ilvl="2" w:tentative="0">
      <w:start w:val="0"/>
      <w:numFmt w:val="bullet"/>
      <w:lvlText w:val="-"/>
      <w:lvlJc w:val="left"/>
      <w:pPr>
        <w:ind w:left="1500" w:hanging="420"/>
      </w:pPr>
      <w:rPr>
        <w:rFonts w:hint="default" w:ascii="Times" w:hAnsi="Times" w:eastAsia="Batang" w:cs="Times"/>
      </w:rPr>
    </w:lvl>
    <w:lvl w:ilvl="3" w:tentative="0">
      <w:start w:val="0"/>
      <w:numFmt w:val="bullet"/>
      <w:lvlText w:val="-"/>
      <w:lvlJc w:val="left"/>
      <w:pPr>
        <w:ind w:left="1920" w:hanging="420"/>
      </w:pPr>
      <w:rPr>
        <w:rFonts w:hint="default" w:ascii="Times" w:hAnsi="Times" w:eastAsia="Batang" w:cs="Time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5">
    <w:nsid w:val="19D529C4"/>
    <w:multiLevelType w:val="multilevel"/>
    <w:tmpl w:val="19D529C4"/>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7762140"/>
    <w:multiLevelType w:val="multilevel"/>
    <w:tmpl w:val="277621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893180A"/>
    <w:multiLevelType w:val="singleLevel"/>
    <w:tmpl w:val="2893180A"/>
    <w:lvl w:ilvl="0" w:tentative="0">
      <w:start w:val="1"/>
      <w:numFmt w:val="decimal"/>
      <w:suff w:val="space"/>
      <w:lvlText w:val="(%1)"/>
      <w:lvlJc w:val="left"/>
    </w:lvl>
  </w:abstractNum>
  <w:abstractNum w:abstractNumId="8">
    <w:nsid w:val="304628AF"/>
    <w:multiLevelType w:val="multilevel"/>
    <w:tmpl w:val="304628AF"/>
    <w:lvl w:ilvl="0" w:tentative="0">
      <w:start w:val="1"/>
      <w:numFmt w:val="bullet"/>
      <w:lvlText w:val=""/>
      <w:lvlJc w:val="left"/>
      <w:pPr>
        <w:ind w:left="960" w:hanging="360"/>
      </w:pPr>
      <w:rPr>
        <w:rFonts w:hint="default" w:ascii="Symbol" w:hAnsi="Symbol"/>
      </w:rPr>
    </w:lvl>
    <w:lvl w:ilvl="1" w:tentative="0">
      <w:start w:val="1"/>
      <w:numFmt w:val="bullet"/>
      <w:lvlText w:val="o"/>
      <w:lvlJc w:val="left"/>
      <w:pPr>
        <w:ind w:left="1680" w:hanging="360"/>
      </w:pPr>
      <w:rPr>
        <w:rFonts w:hint="default" w:ascii="Courier New" w:hAnsi="Courier New" w:cs="Courier New"/>
      </w:rPr>
    </w:lvl>
    <w:lvl w:ilvl="2" w:tentative="0">
      <w:start w:val="1"/>
      <w:numFmt w:val="bullet"/>
      <w:lvlText w:val=""/>
      <w:lvlJc w:val="left"/>
      <w:pPr>
        <w:ind w:left="2400" w:hanging="360"/>
      </w:pPr>
      <w:rPr>
        <w:rFonts w:hint="default" w:ascii="Wingdings" w:hAnsi="Wingdings"/>
      </w:rPr>
    </w:lvl>
    <w:lvl w:ilvl="3" w:tentative="0">
      <w:start w:val="1"/>
      <w:numFmt w:val="bullet"/>
      <w:lvlText w:val=""/>
      <w:lvlJc w:val="left"/>
      <w:pPr>
        <w:ind w:left="3120" w:hanging="360"/>
      </w:pPr>
      <w:rPr>
        <w:rFonts w:hint="default" w:ascii="Symbol" w:hAnsi="Symbol"/>
      </w:rPr>
    </w:lvl>
    <w:lvl w:ilvl="4" w:tentative="0">
      <w:start w:val="1"/>
      <w:numFmt w:val="bullet"/>
      <w:lvlText w:val="o"/>
      <w:lvlJc w:val="left"/>
      <w:pPr>
        <w:ind w:left="3840" w:hanging="360"/>
      </w:pPr>
      <w:rPr>
        <w:rFonts w:hint="default" w:ascii="Courier New" w:hAnsi="Courier New" w:cs="Courier New"/>
      </w:rPr>
    </w:lvl>
    <w:lvl w:ilvl="5" w:tentative="0">
      <w:start w:val="1"/>
      <w:numFmt w:val="bullet"/>
      <w:lvlText w:val=""/>
      <w:lvlJc w:val="left"/>
      <w:pPr>
        <w:ind w:left="4560" w:hanging="360"/>
      </w:pPr>
      <w:rPr>
        <w:rFonts w:hint="default" w:ascii="Wingdings" w:hAnsi="Wingdings"/>
      </w:rPr>
    </w:lvl>
    <w:lvl w:ilvl="6" w:tentative="0">
      <w:start w:val="1"/>
      <w:numFmt w:val="bullet"/>
      <w:lvlText w:val=""/>
      <w:lvlJc w:val="left"/>
      <w:pPr>
        <w:ind w:left="5280" w:hanging="360"/>
      </w:pPr>
      <w:rPr>
        <w:rFonts w:hint="default" w:ascii="Symbol" w:hAnsi="Symbol"/>
      </w:rPr>
    </w:lvl>
    <w:lvl w:ilvl="7" w:tentative="0">
      <w:start w:val="1"/>
      <w:numFmt w:val="bullet"/>
      <w:lvlText w:val="o"/>
      <w:lvlJc w:val="left"/>
      <w:pPr>
        <w:ind w:left="6000" w:hanging="360"/>
      </w:pPr>
      <w:rPr>
        <w:rFonts w:hint="default" w:ascii="Courier New" w:hAnsi="Courier New" w:cs="Courier New"/>
      </w:rPr>
    </w:lvl>
    <w:lvl w:ilvl="8" w:tentative="0">
      <w:start w:val="1"/>
      <w:numFmt w:val="bullet"/>
      <w:lvlText w:val=""/>
      <w:lvlJc w:val="left"/>
      <w:pPr>
        <w:ind w:left="6720" w:hanging="360"/>
      </w:pPr>
      <w:rPr>
        <w:rFonts w:hint="default" w:ascii="Wingdings" w:hAnsi="Wingdings"/>
      </w:rPr>
    </w:lvl>
  </w:abstractNum>
  <w:abstractNum w:abstractNumId="9">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821"/>
        </w:tabs>
        <w:ind w:left="5821"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0">
    <w:nsid w:val="3A877D64"/>
    <w:multiLevelType w:val="singleLevel"/>
    <w:tmpl w:val="3A877D64"/>
    <w:lvl w:ilvl="0" w:tentative="0">
      <w:start w:val="1"/>
      <w:numFmt w:val="decimal"/>
      <w:pStyle w:val="33"/>
      <w:lvlText w:val="[%1]"/>
      <w:lvlJc w:val="left"/>
      <w:pPr>
        <w:tabs>
          <w:tab w:val="left" w:pos="360"/>
        </w:tabs>
        <w:ind w:left="360" w:hanging="360"/>
      </w:pPr>
      <w:rPr>
        <w:sz w:val="20"/>
        <w:szCs w:val="20"/>
      </w:rPr>
    </w:lvl>
  </w:abstractNum>
  <w:abstractNum w:abstractNumId="11">
    <w:nsid w:val="3AA46647"/>
    <w:multiLevelType w:val="multilevel"/>
    <w:tmpl w:val="3AA46647"/>
    <w:lvl w:ilvl="0" w:tentative="0">
      <w:start w:val="1"/>
      <w:numFmt w:val="decimal"/>
      <w:pStyle w:val="73"/>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E8C3B0D"/>
    <w:multiLevelType w:val="multilevel"/>
    <w:tmpl w:val="3E8C3B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eastAsia" w:ascii="Malgun Gothic" w:hAnsi="Malgun Gothic" w:eastAsia="Malgun Gothic"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E90568E"/>
    <w:multiLevelType w:val="multilevel"/>
    <w:tmpl w:val="3E9056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8AF1CA7"/>
    <w:multiLevelType w:val="multilevel"/>
    <w:tmpl w:val="48AF1CA7"/>
    <w:lvl w:ilvl="0" w:tentative="0">
      <w:start w:val="0"/>
      <w:numFmt w:val="bullet"/>
      <w:lvlText w:val="•"/>
      <w:lvlJc w:val="left"/>
      <w:pPr>
        <w:ind w:left="600" w:hanging="360"/>
      </w:pPr>
      <w:rPr>
        <w:rFonts w:hint="default" w:ascii="Times New Roman" w:hAnsi="Times New Roman" w:eastAsia="宋体" w:cs="Times New Roman"/>
      </w:rPr>
    </w:lvl>
    <w:lvl w:ilvl="1" w:tentative="0">
      <w:start w:val="5"/>
      <w:numFmt w:val="bullet"/>
      <w:lvlText w:val="-"/>
      <w:lvlJc w:val="left"/>
      <w:pPr>
        <w:ind w:left="1080" w:hanging="420"/>
      </w:pPr>
      <w:rPr>
        <w:rFonts w:hint="default" w:ascii="Times New Roman" w:hAnsi="Times New Roman" w:cs="Times New Roman" w:eastAsiaTheme="minorEastAsia"/>
      </w:rPr>
    </w:lvl>
    <w:lvl w:ilvl="2" w:tentative="0">
      <w:start w:val="0"/>
      <w:numFmt w:val="bullet"/>
      <w:lvlText w:val="-"/>
      <w:lvlJc w:val="left"/>
      <w:pPr>
        <w:ind w:left="1500" w:hanging="420"/>
      </w:pPr>
      <w:rPr>
        <w:rFonts w:hint="default" w:ascii="Times" w:hAnsi="Times" w:eastAsia="Batang" w:cs="Times"/>
      </w:rPr>
    </w:lvl>
    <w:lvl w:ilvl="3" w:tentative="0">
      <w:start w:val="0"/>
      <w:numFmt w:val="bullet"/>
      <w:lvlText w:val="-"/>
      <w:lvlJc w:val="left"/>
      <w:pPr>
        <w:ind w:left="1920" w:hanging="420"/>
      </w:pPr>
      <w:rPr>
        <w:rFonts w:hint="default" w:ascii="Times" w:hAnsi="Times" w:eastAsia="Batang" w:cs="Time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5">
    <w:nsid w:val="4B4A0931"/>
    <w:multiLevelType w:val="multilevel"/>
    <w:tmpl w:val="4B4A09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6653262"/>
    <w:multiLevelType w:val="multilevel"/>
    <w:tmpl w:val="56653262"/>
    <w:lvl w:ilvl="0" w:tentative="0">
      <w:start w:val="0"/>
      <w:numFmt w:val="bullet"/>
      <w:lvlText w:val="•"/>
      <w:lvlJc w:val="left"/>
      <w:pPr>
        <w:ind w:left="1212" w:hanging="360"/>
      </w:pPr>
      <w:rPr>
        <w:rFonts w:hint="default" w:ascii="Times New Roman" w:hAnsi="Times New Roman" w:eastAsia="宋体" w:cs="Times New Roman"/>
      </w:rPr>
    </w:lvl>
    <w:lvl w:ilvl="1" w:tentative="0">
      <w:start w:val="5"/>
      <w:numFmt w:val="bullet"/>
      <w:lvlText w:val="-"/>
      <w:lvlJc w:val="left"/>
      <w:pPr>
        <w:ind w:left="1692" w:hanging="420"/>
      </w:pPr>
      <w:rPr>
        <w:rFonts w:hint="default" w:ascii="Times New Roman" w:hAnsi="Times New Roman" w:cs="Times New Roman" w:eastAsiaTheme="minorEastAsia"/>
      </w:rPr>
    </w:lvl>
    <w:lvl w:ilvl="2" w:tentative="0">
      <w:start w:val="0"/>
      <w:numFmt w:val="bullet"/>
      <w:lvlText w:val="-"/>
      <w:lvlJc w:val="left"/>
      <w:pPr>
        <w:ind w:left="2112" w:hanging="420"/>
      </w:pPr>
      <w:rPr>
        <w:rFonts w:hint="default" w:ascii="Times" w:hAnsi="Times" w:eastAsia="Batang" w:cs="Times"/>
      </w:rPr>
    </w:lvl>
    <w:lvl w:ilvl="3" w:tentative="0">
      <w:start w:val="1"/>
      <w:numFmt w:val="bullet"/>
      <w:lvlText w:val=""/>
      <w:lvlJc w:val="left"/>
      <w:pPr>
        <w:ind w:left="2532" w:hanging="420"/>
      </w:pPr>
      <w:rPr>
        <w:rFonts w:hint="default" w:ascii="Wingdings" w:hAnsi="Wingdings"/>
      </w:rPr>
    </w:lvl>
    <w:lvl w:ilvl="4" w:tentative="0">
      <w:start w:val="1"/>
      <w:numFmt w:val="bullet"/>
      <w:lvlText w:val=""/>
      <w:lvlJc w:val="left"/>
      <w:pPr>
        <w:ind w:left="2952" w:hanging="420"/>
      </w:pPr>
      <w:rPr>
        <w:rFonts w:hint="default" w:ascii="Wingdings" w:hAnsi="Wingdings"/>
      </w:rPr>
    </w:lvl>
    <w:lvl w:ilvl="5" w:tentative="0">
      <w:start w:val="1"/>
      <w:numFmt w:val="bullet"/>
      <w:lvlText w:val=""/>
      <w:lvlJc w:val="left"/>
      <w:pPr>
        <w:ind w:left="3372" w:hanging="420"/>
      </w:pPr>
      <w:rPr>
        <w:rFonts w:hint="default" w:ascii="Wingdings" w:hAnsi="Wingdings"/>
      </w:rPr>
    </w:lvl>
    <w:lvl w:ilvl="6" w:tentative="0">
      <w:start w:val="1"/>
      <w:numFmt w:val="bullet"/>
      <w:lvlText w:val=""/>
      <w:lvlJc w:val="left"/>
      <w:pPr>
        <w:ind w:left="3792" w:hanging="420"/>
      </w:pPr>
      <w:rPr>
        <w:rFonts w:hint="default" w:ascii="Wingdings" w:hAnsi="Wingdings"/>
      </w:rPr>
    </w:lvl>
    <w:lvl w:ilvl="7" w:tentative="0">
      <w:start w:val="1"/>
      <w:numFmt w:val="bullet"/>
      <w:lvlText w:val=""/>
      <w:lvlJc w:val="left"/>
      <w:pPr>
        <w:ind w:left="4212" w:hanging="420"/>
      </w:pPr>
      <w:rPr>
        <w:rFonts w:hint="default" w:ascii="Wingdings" w:hAnsi="Wingdings"/>
      </w:rPr>
    </w:lvl>
    <w:lvl w:ilvl="8" w:tentative="0">
      <w:start w:val="1"/>
      <w:numFmt w:val="bullet"/>
      <w:lvlText w:val=""/>
      <w:lvlJc w:val="left"/>
      <w:pPr>
        <w:ind w:left="4632" w:hanging="420"/>
      </w:pPr>
      <w:rPr>
        <w:rFonts w:hint="default" w:ascii="Wingdings" w:hAnsi="Wingdings"/>
      </w:rPr>
    </w:lvl>
  </w:abstractNum>
  <w:abstractNum w:abstractNumId="17">
    <w:nsid w:val="5DBF2ADA"/>
    <w:multiLevelType w:val="multilevel"/>
    <w:tmpl w:val="5DBF2ADA"/>
    <w:lvl w:ilvl="0" w:tentative="0">
      <w:start w:val="5"/>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70430E3C"/>
    <w:multiLevelType w:val="multilevel"/>
    <w:tmpl w:val="70430E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F011984"/>
    <w:multiLevelType w:val="multilevel"/>
    <w:tmpl w:val="7F011984"/>
    <w:lvl w:ilvl="0" w:tentative="0">
      <w:start w:val="5"/>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0"/>
  </w:num>
  <w:num w:numId="3">
    <w:abstractNumId w:val="11"/>
  </w:num>
  <w:num w:numId="4">
    <w:abstractNumId w:val="3"/>
  </w:num>
  <w:num w:numId="5">
    <w:abstractNumId w:val="0"/>
  </w:num>
  <w:num w:numId="6">
    <w:abstractNumId w:val="12"/>
  </w:num>
  <w:num w:numId="7">
    <w:abstractNumId w:val="15"/>
  </w:num>
  <w:num w:numId="8">
    <w:abstractNumId w:val="8"/>
  </w:num>
  <w:num w:numId="9">
    <w:abstractNumId w:val="13"/>
  </w:num>
  <w:num w:numId="10">
    <w:abstractNumId w:val="19"/>
  </w:num>
  <w:num w:numId="11">
    <w:abstractNumId w:val="18"/>
  </w:num>
  <w:num w:numId="12">
    <w:abstractNumId w:val="17"/>
  </w:num>
  <w:num w:numId="13">
    <w:abstractNumId w:val="7"/>
  </w:num>
  <w:num w:numId="14">
    <w:abstractNumId w:val="2"/>
  </w:num>
  <w:num w:numId="15">
    <w:abstractNumId w:val="5"/>
  </w:num>
  <w:num w:numId="16">
    <w:abstractNumId w:val="4"/>
  </w:num>
  <w:num w:numId="17">
    <w:abstractNumId w:val="16"/>
  </w:num>
  <w:num w:numId="18">
    <w:abstractNumId w:val="6"/>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992"/>
    <w:rsid w:val="00001B3D"/>
    <w:rsid w:val="000020F6"/>
    <w:rsid w:val="00002588"/>
    <w:rsid w:val="00002893"/>
    <w:rsid w:val="000029A6"/>
    <w:rsid w:val="000029C0"/>
    <w:rsid w:val="00002FC0"/>
    <w:rsid w:val="000033A3"/>
    <w:rsid w:val="000035D7"/>
    <w:rsid w:val="00003605"/>
    <w:rsid w:val="00003779"/>
    <w:rsid w:val="00003956"/>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5DF7"/>
    <w:rsid w:val="000067CC"/>
    <w:rsid w:val="0000684F"/>
    <w:rsid w:val="00006B58"/>
    <w:rsid w:val="000072B6"/>
    <w:rsid w:val="0000752E"/>
    <w:rsid w:val="00007813"/>
    <w:rsid w:val="000079D4"/>
    <w:rsid w:val="0001025E"/>
    <w:rsid w:val="00010297"/>
    <w:rsid w:val="000102F6"/>
    <w:rsid w:val="0001052D"/>
    <w:rsid w:val="000109E6"/>
    <w:rsid w:val="000109FC"/>
    <w:rsid w:val="0001114F"/>
    <w:rsid w:val="000112B4"/>
    <w:rsid w:val="00011375"/>
    <w:rsid w:val="0001155D"/>
    <w:rsid w:val="0001182D"/>
    <w:rsid w:val="00011B33"/>
    <w:rsid w:val="00011F67"/>
    <w:rsid w:val="00012050"/>
    <w:rsid w:val="00012073"/>
    <w:rsid w:val="000122DA"/>
    <w:rsid w:val="00012798"/>
    <w:rsid w:val="00012862"/>
    <w:rsid w:val="000128E6"/>
    <w:rsid w:val="00013464"/>
    <w:rsid w:val="000134DC"/>
    <w:rsid w:val="00013596"/>
    <w:rsid w:val="00013BCD"/>
    <w:rsid w:val="00014C07"/>
    <w:rsid w:val="00015264"/>
    <w:rsid w:val="00015309"/>
    <w:rsid w:val="00015612"/>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DE5"/>
    <w:rsid w:val="0002519B"/>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A47"/>
    <w:rsid w:val="00030AF4"/>
    <w:rsid w:val="00031286"/>
    <w:rsid w:val="0003188F"/>
    <w:rsid w:val="00031ADB"/>
    <w:rsid w:val="00031C0B"/>
    <w:rsid w:val="00032056"/>
    <w:rsid w:val="000323C4"/>
    <w:rsid w:val="00032478"/>
    <w:rsid w:val="0003250F"/>
    <w:rsid w:val="0003284D"/>
    <w:rsid w:val="000328CA"/>
    <w:rsid w:val="00032BDC"/>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6764"/>
    <w:rsid w:val="00037484"/>
    <w:rsid w:val="000379E3"/>
    <w:rsid w:val="000379FA"/>
    <w:rsid w:val="0004023E"/>
    <w:rsid w:val="0004024B"/>
    <w:rsid w:val="0004025E"/>
    <w:rsid w:val="0004027E"/>
    <w:rsid w:val="0004048F"/>
    <w:rsid w:val="00040E40"/>
    <w:rsid w:val="0004103F"/>
    <w:rsid w:val="0004108F"/>
    <w:rsid w:val="00041173"/>
    <w:rsid w:val="0004153F"/>
    <w:rsid w:val="00041747"/>
    <w:rsid w:val="00041C57"/>
    <w:rsid w:val="00041C5C"/>
    <w:rsid w:val="00041F42"/>
    <w:rsid w:val="00042075"/>
    <w:rsid w:val="000427C3"/>
    <w:rsid w:val="000429BF"/>
    <w:rsid w:val="00042D39"/>
    <w:rsid w:val="000434B7"/>
    <w:rsid w:val="000435E4"/>
    <w:rsid w:val="00043ABE"/>
    <w:rsid w:val="00043C35"/>
    <w:rsid w:val="00043D58"/>
    <w:rsid w:val="000445A9"/>
    <w:rsid w:val="0004487C"/>
    <w:rsid w:val="00045017"/>
    <w:rsid w:val="000454F1"/>
    <w:rsid w:val="0004582E"/>
    <w:rsid w:val="0004585B"/>
    <w:rsid w:val="00045873"/>
    <w:rsid w:val="00045987"/>
    <w:rsid w:val="00045997"/>
    <w:rsid w:val="00045ACD"/>
    <w:rsid w:val="00045BF9"/>
    <w:rsid w:val="00045F9B"/>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2BEF"/>
    <w:rsid w:val="00063884"/>
    <w:rsid w:val="0006394D"/>
    <w:rsid w:val="00063F05"/>
    <w:rsid w:val="00064082"/>
    <w:rsid w:val="00064A1C"/>
    <w:rsid w:val="00065025"/>
    <w:rsid w:val="00065103"/>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EF8"/>
    <w:rsid w:val="00071192"/>
    <w:rsid w:val="000713A7"/>
    <w:rsid w:val="00071B10"/>
    <w:rsid w:val="00071FAF"/>
    <w:rsid w:val="00072053"/>
    <w:rsid w:val="00072454"/>
    <w:rsid w:val="00072582"/>
    <w:rsid w:val="00072A0E"/>
    <w:rsid w:val="00072A80"/>
    <w:rsid w:val="00072AB3"/>
    <w:rsid w:val="000731A0"/>
    <w:rsid w:val="00073448"/>
    <w:rsid w:val="000736C1"/>
    <w:rsid w:val="00073796"/>
    <w:rsid w:val="00073797"/>
    <w:rsid w:val="00073815"/>
    <w:rsid w:val="00073DEC"/>
    <w:rsid w:val="000745AA"/>
    <w:rsid w:val="00074C64"/>
    <w:rsid w:val="00074E31"/>
    <w:rsid w:val="00074E86"/>
    <w:rsid w:val="00075A0F"/>
    <w:rsid w:val="00075E44"/>
    <w:rsid w:val="00076097"/>
    <w:rsid w:val="00076317"/>
    <w:rsid w:val="00076344"/>
    <w:rsid w:val="0007640C"/>
    <w:rsid w:val="00076531"/>
    <w:rsid w:val="00076541"/>
    <w:rsid w:val="00076C6D"/>
    <w:rsid w:val="00076FFF"/>
    <w:rsid w:val="000772F4"/>
    <w:rsid w:val="00077605"/>
    <w:rsid w:val="000776EB"/>
    <w:rsid w:val="00077C7F"/>
    <w:rsid w:val="00077DDF"/>
    <w:rsid w:val="00080007"/>
    <w:rsid w:val="000804CF"/>
    <w:rsid w:val="00080A83"/>
    <w:rsid w:val="00080EB4"/>
    <w:rsid w:val="000810D3"/>
    <w:rsid w:val="00081476"/>
    <w:rsid w:val="00081AA6"/>
    <w:rsid w:val="00081ACF"/>
    <w:rsid w:val="000821B7"/>
    <w:rsid w:val="0008224F"/>
    <w:rsid w:val="00082311"/>
    <w:rsid w:val="000823B0"/>
    <w:rsid w:val="000824CD"/>
    <w:rsid w:val="000826FF"/>
    <w:rsid w:val="00082F0F"/>
    <w:rsid w:val="0008335B"/>
    <w:rsid w:val="00083379"/>
    <w:rsid w:val="00083587"/>
    <w:rsid w:val="00083838"/>
    <w:rsid w:val="00083B6A"/>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902C8"/>
    <w:rsid w:val="000902DC"/>
    <w:rsid w:val="0009076B"/>
    <w:rsid w:val="0009096B"/>
    <w:rsid w:val="000911AE"/>
    <w:rsid w:val="00091624"/>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4205"/>
    <w:rsid w:val="000A4A19"/>
    <w:rsid w:val="000A4DFE"/>
    <w:rsid w:val="000A4F9C"/>
    <w:rsid w:val="000A5136"/>
    <w:rsid w:val="000A5344"/>
    <w:rsid w:val="000A53FC"/>
    <w:rsid w:val="000A5482"/>
    <w:rsid w:val="000A588E"/>
    <w:rsid w:val="000A6002"/>
    <w:rsid w:val="000A6351"/>
    <w:rsid w:val="000A63D6"/>
    <w:rsid w:val="000A6851"/>
    <w:rsid w:val="000A6852"/>
    <w:rsid w:val="000A6F2D"/>
    <w:rsid w:val="000A700C"/>
    <w:rsid w:val="000A710E"/>
    <w:rsid w:val="000A734A"/>
    <w:rsid w:val="000A73EC"/>
    <w:rsid w:val="000A780E"/>
    <w:rsid w:val="000A7B38"/>
    <w:rsid w:val="000B0343"/>
    <w:rsid w:val="000B0386"/>
    <w:rsid w:val="000B03B2"/>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454"/>
    <w:rsid w:val="000B65B0"/>
    <w:rsid w:val="000B65FD"/>
    <w:rsid w:val="000B676C"/>
    <w:rsid w:val="000B6944"/>
    <w:rsid w:val="000B6A2A"/>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01"/>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7D7"/>
    <w:rsid w:val="000C38A2"/>
    <w:rsid w:val="000C3AA0"/>
    <w:rsid w:val="000C3B0C"/>
    <w:rsid w:val="000C3CAB"/>
    <w:rsid w:val="000C3DFF"/>
    <w:rsid w:val="000C3EA8"/>
    <w:rsid w:val="000C422D"/>
    <w:rsid w:val="000C491E"/>
    <w:rsid w:val="000C4982"/>
    <w:rsid w:val="000C4B5E"/>
    <w:rsid w:val="000C4BBA"/>
    <w:rsid w:val="000C5E25"/>
    <w:rsid w:val="000C5F91"/>
    <w:rsid w:val="000C6025"/>
    <w:rsid w:val="000C60CB"/>
    <w:rsid w:val="000C60FD"/>
    <w:rsid w:val="000C639F"/>
    <w:rsid w:val="000C68A0"/>
    <w:rsid w:val="000C7131"/>
    <w:rsid w:val="000C72E4"/>
    <w:rsid w:val="000C778E"/>
    <w:rsid w:val="000C78E0"/>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DF0"/>
    <w:rsid w:val="000D22CC"/>
    <w:rsid w:val="000D2986"/>
    <w:rsid w:val="000D2A9A"/>
    <w:rsid w:val="000D2DE9"/>
    <w:rsid w:val="000D2E23"/>
    <w:rsid w:val="000D36AE"/>
    <w:rsid w:val="000D38A1"/>
    <w:rsid w:val="000D3C9E"/>
    <w:rsid w:val="000D3DB0"/>
    <w:rsid w:val="000D4155"/>
    <w:rsid w:val="000D445F"/>
    <w:rsid w:val="000D4C4E"/>
    <w:rsid w:val="000D4CB6"/>
    <w:rsid w:val="000D4E2E"/>
    <w:rsid w:val="000D4E68"/>
    <w:rsid w:val="000D4F55"/>
    <w:rsid w:val="000D5077"/>
    <w:rsid w:val="000D508E"/>
    <w:rsid w:val="000D517F"/>
    <w:rsid w:val="000D5362"/>
    <w:rsid w:val="000D56D8"/>
    <w:rsid w:val="000D57F8"/>
    <w:rsid w:val="000D5851"/>
    <w:rsid w:val="000D5B18"/>
    <w:rsid w:val="000D5C60"/>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9A0"/>
    <w:rsid w:val="000E5D70"/>
    <w:rsid w:val="000E5E1E"/>
    <w:rsid w:val="000E5E4A"/>
    <w:rsid w:val="000E5EA4"/>
    <w:rsid w:val="000E6305"/>
    <w:rsid w:val="000E69D2"/>
    <w:rsid w:val="000E6C16"/>
    <w:rsid w:val="000E6FA5"/>
    <w:rsid w:val="000E7A84"/>
    <w:rsid w:val="000E7CA3"/>
    <w:rsid w:val="000E7D3C"/>
    <w:rsid w:val="000F02B7"/>
    <w:rsid w:val="000F04A4"/>
    <w:rsid w:val="000F076E"/>
    <w:rsid w:val="000F087E"/>
    <w:rsid w:val="000F0CCD"/>
    <w:rsid w:val="000F15BC"/>
    <w:rsid w:val="000F1636"/>
    <w:rsid w:val="000F180A"/>
    <w:rsid w:val="000F1927"/>
    <w:rsid w:val="000F1C92"/>
    <w:rsid w:val="000F238B"/>
    <w:rsid w:val="000F297C"/>
    <w:rsid w:val="000F2EEE"/>
    <w:rsid w:val="000F3338"/>
    <w:rsid w:val="000F3609"/>
    <w:rsid w:val="000F3697"/>
    <w:rsid w:val="000F4451"/>
    <w:rsid w:val="000F470E"/>
    <w:rsid w:val="000F49EC"/>
    <w:rsid w:val="000F4AC0"/>
    <w:rsid w:val="000F532C"/>
    <w:rsid w:val="000F5930"/>
    <w:rsid w:val="000F617A"/>
    <w:rsid w:val="000F6207"/>
    <w:rsid w:val="000F62B0"/>
    <w:rsid w:val="000F67CE"/>
    <w:rsid w:val="000F67E5"/>
    <w:rsid w:val="000F68BD"/>
    <w:rsid w:val="000F6946"/>
    <w:rsid w:val="000F694C"/>
    <w:rsid w:val="000F6C8A"/>
    <w:rsid w:val="000F6FAE"/>
    <w:rsid w:val="000F7290"/>
    <w:rsid w:val="000F7353"/>
    <w:rsid w:val="000F74F4"/>
    <w:rsid w:val="000F763E"/>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40E"/>
    <w:rsid w:val="00107779"/>
    <w:rsid w:val="001078C2"/>
    <w:rsid w:val="00107A76"/>
    <w:rsid w:val="00107B6C"/>
    <w:rsid w:val="00107C7F"/>
    <w:rsid w:val="00107E1C"/>
    <w:rsid w:val="00110243"/>
    <w:rsid w:val="00110322"/>
    <w:rsid w:val="00110424"/>
    <w:rsid w:val="00110E97"/>
    <w:rsid w:val="00111023"/>
    <w:rsid w:val="001112C4"/>
    <w:rsid w:val="00111335"/>
    <w:rsid w:val="00111444"/>
    <w:rsid w:val="00111723"/>
    <w:rsid w:val="00111724"/>
    <w:rsid w:val="001119DB"/>
    <w:rsid w:val="00112094"/>
    <w:rsid w:val="001129B5"/>
    <w:rsid w:val="001129EE"/>
    <w:rsid w:val="00112A90"/>
    <w:rsid w:val="00112BE6"/>
    <w:rsid w:val="0011314E"/>
    <w:rsid w:val="00113285"/>
    <w:rsid w:val="0011340E"/>
    <w:rsid w:val="001135C7"/>
    <w:rsid w:val="001135D8"/>
    <w:rsid w:val="001141A8"/>
    <w:rsid w:val="001141E3"/>
    <w:rsid w:val="001144DF"/>
    <w:rsid w:val="00114836"/>
    <w:rsid w:val="00114D8D"/>
    <w:rsid w:val="00114D9E"/>
    <w:rsid w:val="0011557B"/>
    <w:rsid w:val="001158E3"/>
    <w:rsid w:val="001163EF"/>
    <w:rsid w:val="00116A4A"/>
    <w:rsid w:val="00116A86"/>
    <w:rsid w:val="00116E65"/>
    <w:rsid w:val="00116F25"/>
    <w:rsid w:val="0011700E"/>
    <w:rsid w:val="00117969"/>
    <w:rsid w:val="00117A62"/>
    <w:rsid w:val="00117C85"/>
    <w:rsid w:val="00120189"/>
    <w:rsid w:val="0012020F"/>
    <w:rsid w:val="001204AE"/>
    <w:rsid w:val="00120B13"/>
    <w:rsid w:val="00120E88"/>
    <w:rsid w:val="00121530"/>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860"/>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5F07"/>
    <w:rsid w:val="0013693D"/>
    <w:rsid w:val="00136A23"/>
    <w:rsid w:val="00136B99"/>
    <w:rsid w:val="00136C90"/>
    <w:rsid w:val="001371C8"/>
    <w:rsid w:val="0013725F"/>
    <w:rsid w:val="00137470"/>
    <w:rsid w:val="001375B0"/>
    <w:rsid w:val="0013767A"/>
    <w:rsid w:val="00137F32"/>
    <w:rsid w:val="001403A9"/>
    <w:rsid w:val="00140612"/>
    <w:rsid w:val="0014063E"/>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AB"/>
    <w:rsid w:val="00147363"/>
    <w:rsid w:val="0014760A"/>
    <w:rsid w:val="00147873"/>
    <w:rsid w:val="00147B77"/>
    <w:rsid w:val="001500E9"/>
    <w:rsid w:val="00150214"/>
    <w:rsid w:val="001508FD"/>
    <w:rsid w:val="001509F7"/>
    <w:rsid w:val="00150D79"/>
    <w:rsid w:val="00150E01"/>
    <w:rsid w:val="00151387"/>
    <w:rsid w:val="00151619"/>
    <w:rsid w:val="00152170"/>
    <w:rsid w:val="001524D2"/>
    <w:rsid w:val="00152835"/>
    <w:rsid w:val="00152D28"/>
    <w:rsid w:val="00152DFC"/>
    <w:rsid w:val="00153010"/>
    <w:rsid w:val="00153089"/>
    <w:rsid w:val="001530EA"/>
    <w:rsid w:val="00153CB1"/>
    <w:rsid w:val="001543F4"/>
    <w:rsid w:val="001544EF"/>
    <w:rsid w:val="00155450"/>
    <w:rsid w:val="001557FF"/>
    <w:rsid w:val="0015584E"/>
    <w:rsid w:val="001559A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854"/>
    <w:rsid w:val="001609F5"/>
    <w:rsid w:val="00160C77"/>
    <w:rsid w:val="00160E63"/>
    <w:rsid w:val="001612C5"/>
    <w:rsid w:val="00161364"/>
    <w:rsid w:val="00161658"/>
    <w:rsid w:val="00161676"/>
    <w:rsid w:val="00161C3C"/>
    <w:rsid w:val="00162013"/>
    <w:rsid w:val="00162333"/>
    <w:rsid w:val="0016271E"/>
    <w:rsid w:val="00162919"/>
    <w:rsid w:val="00162D7A"/>
    <w:rsid w:val="00162E1B"/>
    <w:rsid w:val="00162E2F"/>
    <w:rsid w:val="00163033"/>
    <w:rsid w:val="00163141"/>
    <w:rsid w:val="001631C9"/>
    <w:rsid w:val="00163949"/>
    <w:rsid w:val="00163A8D"/>
    <w:rsid w:val="00163FC7"/>
    <w:rsid w:val="00164167"/>
    <w:rsid w:val="00164202"/>
    <w:rsid w:val="001642E3"/>
    <w:rsid w:val="0016451C"/>
    <w:rsid w:val="001648CA"/>
    <w:rsid w:val="001649D6"/>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3AE"/>
    <w:rsid w:val="001708DD"/>
    <w:rsid w:val="00171143"/>
    <w:rsid w:val="0017182C"/>
    <w:rsid w:val="0017196C"/>
    <w:rsid w:val="001719C0"/>
    <w:rsid w:val="00171AAD"/>
    <w:rsid w:val="00172023"/>
    <w:rsid w:val="00172602"/>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662"/>
    <w:rsid w:val="00175AEC"/>
    <w:rsid w:val="00175C30"/>
    <w:rsid w:val="0017608D"/>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88"/>
    <w:rsid w:val="00191BB0"/>
    <w:rsid w:val="00191C91"/>
    <w:rsid w:val="0019274E"/>
    <w:rsid w:val="00192DD9"/>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F28"/>
    <w:rsid w:val="00196FDA"/>
    <w:rsid w:val="00197032"/>
    <w:rsid w:val="0019759B"/>
    <w:rsid w:val="001975C0"/>
    <w:rsid w:val="0019765A"/>
    <w:rsid w:val="00197B84"/>
    <w:rsid w:val="001A010A"/>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57E"/>
    <w:rsid w:val="001B164C"/>
    <w:rsid w:val="001B1AE0"/>
    <w:rsid w:val="001B1B91"/>
    <w:rsid w:val="001B1BA5"/>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B19"/>
    <w:rsid w:val="001B5E9C"/>
    <w:rsid w:val="001B64B8"/>
    <w:rsid w:val="001B6564"/>
    <w:rsid w:val="001B65AD"/>
    <w:rsid w:val="001B6765"/>
    <w:rsid w:val="001B691A"/>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811"/>
    <w:rsid w:val="001C2F49"/>
    <w:rsid w:val="001C317F"/>
    <w:rsid w:val="001C3655"/>
    <w:rsid w:val="001C371F"/>
    <w:rsid w:val="001C386C"/>
    <w:rsid w:val="001C3C7E"/>
    <w:rsid w:val="001C3EE9"/>
    <w:rsid w:val="001C3FA4"/>
    <w:rsid w:val="001C40F9"/>
    <w:rsid w:val="001C453E"/>
    <w:rsid w:val="001C458B"/>
    <w:rsid w:val="001C46E1"/>
    <w:rsid w:val="001C47DB"/>
    <w:rsid w:val="001C4BD1"/>
    <w:rsid w:val="001C4D28"/>
    <w:rsid w:val="001C5714"/>
    <w:rsid w:val="001C5962"/>
    <w:rsid w:val="001C59D4"/>
    <w:rsid w:val="001C5CE6"/>
    <w:rsid w:val="001C5D4F"/>
    <w:rsid w:val="001C64C0"/>
    <w:rsid w:val="001C69DA"/>
    <w:rsid w:val="001C6B38"/>
    <w:rsid w:val="001C6CBF"/>
    <w:rsid w:val="001C6F06"/>
    <w:rsid w:val="001C703D"/>
    <w:rsid w:val="001C71E9"/>
    <w:rsid w:val="001C7E00"/>
    <w:rsid w:val="001D003F"/>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EB"/>
    <w:rsid w:val="001D73BE"/>
    <w:rsid w:val="001D780E"/>
    <w:rsid w:val="001D7E3F"/>
    <w:rsid w:val="001E05C3"/>
    <w:rsid w:val="001E0ACE"/>
    <w:rsid w:val="001E0AD3"/>
    <w:rsid w:val="001E0C24"/>
    <w:rsid w:val="001E0C3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A15"/>
    <w:rsid w:val="001E4BCD"/>
    <w:rsid w:val="001E4E90"/>
    <w:rsid w:val="001E4F52"/>
    <w:rsid w:val="001E57C6"/>
    <w:rsid w:val="001E585B"/>
    <w:rsid w:val="001E58DE"/>
    <w:rsid w:val="001E5A75"/>
    <w:rsid w:val="001E5A7D"/>
    <w:rsid w:val="001E5C23"/>
    <w:rsid w:val="001E6294"/>
    <w:rsid w:val="001E6830"/>
    <w:rsid w:val="001E6E30"/>
    <w:rsid w:val="001E7479"/>
    <w:rsid w:val="001E7504"/>
    <w:rsid w:val="001E76DF"/>
    <w:rsid w:val="001E780D"/>
    <w:rsid w:val="001E7A77"/>
    <w:rsid w:val="001E7AF8"/>
    <w:rsid w:val="001F0278"/>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402"/>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7EB"/>
    <w:rsid w:val="00206AC5"/>
    <w:rsid w:val="00206B1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3C23"/>
    <w:rsid w:val="002140FF"/>
    <w:rsid w:val="00214206"/>
    <w:rsid w:val="0021423C"/>
    <w:rsid w:val="00214280"/>
    <w:rsid w:val="0021468A"/>
    <w:rsid w:val="002149F0"/>
    <w:rsid w:val="00214AB1"/>
    <w:rsid w:val="00214D23"/>
    <w:rsid w:val="00214EF5"/>
    <w:rsid w:val="00215577"/>
    <w:rsid w:val="00215A00"/>
    <w:rsid w:val="00215D0F"/>
    <w:rsid w:val="0021635F"/>
    <w:rsid w:val="00216666"/>
    <w:rsid w:val="00216B81"/>
    <w:rsid w:val="00216E44"/>
    <w:rsid w:val="0021710F"/>
    <w:rsid w:val="00217186"/>
    <w:rsid w:val="002177A2"/>
    <w:rsid w:val="00217886"/>
    <w:rsid w:val="002178C6"/>
    <w:rsid w:val="00217A74"/>
    <w:rsid w:val="00217FA2"/>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5C"/>
    <w:rsid w:val="00240A7D"/>
    <w:rsid w:val="00240E54"/>
    <w:rsid w:val="00241125"/>
    <w:rsid w:val="00241237"/>
    <w:rsid w:val="00241376"/>
    <w:rsid w:val="0024149E"/>
    <w:rsid w:val="002418D1"/>
    <w:rsid w:val="002420A1"/>
    <w:rsid w:val="002428A2"/>
    <w:rsid w:val="00242C31"/>
    <w:rsid w:val="0024338C"/>
    <w:rsid w:val="00243510"/>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E44"/>
    <w:rsid w:val="00251F81"/>
    <w:rsid w:val="00251FB9"/>
    <w:rsid w:val="002520FC"/>
    <w:rsid w:val="002527F4"/>
    <w:rsid w:val="00252ADD"/>
    <w:rsid w:val="00252BE0"/>
    <w:rsid w:val="00253180"/>
    <w:rsid w:val="002534F5"/>
    <w:rsid w:val="00253588"/>
    <w:rsid w:val="002540BD"/>
    <w:rsid w:val="00254131"/>
    <w:rsid w:val="00254606"/>
    <w:rsid w:val="002546A6"/>
    <w:rsid w:val="002546F4"/>
    <w:rsid w:val="0025485C"/>
    <w:rsid w:val="002548F1"/>
    <w:rsid w:val="00255177"/>
    <w:rsid w:val="002551D0"/>
    <w:rsid w:val="00255374"/>
    <w:rsid w:val="00255502"/>
    <w:rsid w:val="00255BCC"/>
    <w:rsid w:val="00255C12"/>
    <w:rsid w:val="00255DD3"/>
    <w:rsid w:val="00256535"/>
    <w:rsid w:val="00256638"/>
    <w:rsid w:val="0025683F"/>
    <w:rsid w:val="002569EC"/>
    <w:rsid w:val="00256EAF"/>
    <w:rsid w:val="002571EA"/>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F51"/>
    <w:rsid w:val="00262090"/>
    <w:rsid w:val="00262481"/>
    <w:rsid w:val="0026248E"/>
    <w:rsid w:val="0026289F"/>
    <w:rsid w:val="00262914"/>
    <w:rsid w:val="00262BC9"/>
    <w:rsid w:val="00262BFE"/>
    <w:rsid w:val="00262C81"/>
    <w:rsid w:val="00262D2C"/>
    <w:rsid w:val="00263217"/>
    <w:rsid w:val="00263881"/>
    <w:rsid w:val="00263A5B"/>
    <w:rsid w:val="00263AAA"/>
    <w:rsid w:val="00263B75"/>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0EA2"/>
    <w:rsid w:val="00271044"/>
    <w:rsid w:val="0027135F"/>
    <w:rsid w:val="0027188B"/>
    <w:rsid w:val="0027195D"/>
    <w:rsid w:val="00271BFE"/>
    <w:rsid w:val="00271C06"/>
    <w:rsid w:val="00271E96"/>
    <w:rsid w:val="00271F2D"/>
    <w:rsid w:val="00271FD5"/>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7F"/>
    <w:rsid w:val="002820D9"/>
    <w:rsid w:val="002823A8"/>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303"/>
    <w:rsid w:val="00285762"/>
    <w:rsid w:val="002859AF"/>
    <w:rsid w:val="002863AA"/>
    <w:rsid w:val="00286454"/>
    <w:rsid w:val="00286AB6"/>
    <w:rsid w:val="00286AE7"/>
    <w:rsid w:val="00286CC5"/>
    <w:rsid w:val="00286EAA"/>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1E96"/>
    <w:rsid w:val="002A204D"/>
    <w:rsid w:val="002A2051"/>
    <w:rsid w:val="002A2136"/>
    <w:rsid w:val="002A21E7"/>
    <w:rsid w:val="002A2616"/>
    <w:rsid w:val="002A26E1"/>
    <w:rsid w:val="002A26E2"/>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4A3"/>
    <w:rsid w:val="002A7528"/>
    <w:rsid w:val="002A75F1"/>
    <w:rsid w:val="002A7734"/>
    <w:rsid w:val="002B0277"/>
    <w:rsid w:val="002B03B8"/>
    <w:rsid w:val="002B072B"/>
    <w:rsid w:val="002B07DB"/>
    <w:rsid w:val="002B0A7D"/>
    <w:rsid w:val="002B0BA0"/>
    <w:rsid w:val="002B0FC1"/>
    <w:rsid w:val="002B0FD8"/>
    <w:rsid w:val="002B12ED"/>
    <w:rsid w:val="002B1A69"/>
    <w:rsid w:val="002B2723"/>
    <w:rsid w:val="002B292D"/>
    <w:rsid w:val="002B303A"/>
    <w:rsid w:val="002B3611"/>
    <w:rsid w:val="002B3848"/>
    <w:rsid w:val="002B3880"/>
    <w:rsid w:val="002B3AC1"/>
    <w:rsid w:val="002B3B02"/>
    <w:rsid w:val="002B417D"/>
    <w:rsid w:val="002B42E4"/>
    <w:rsid w:val="002B43B1"/>
    <w:rsid w:val="002B44C7"/>
    <w:rsid w:val="002B458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EAF"/>
    <w:rsid w:val="002C010E"/>
    <w:rsid w:val="002C0328"/>
    <w:rsid w:val="002C049A"/>
    <w:rsid w:val="002C04BA"/>
    <w:rsid w:val="002C0554"/>
    <w:rsid w:val="002C078A"/>
    <w:rsid w:val="002C07B1"/>
    <w:rsid w:val="002C099C"/>
    <w:rsid w:val="002C0B74"/>
    <w:rsid w:val="002C0B96"/>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0C0D"/>
    <w:rsid w:val="002E0FD5"/>
    <w:rsid w:val="002E118A"/>
    <w:rsid w:val="002E1239"/>
    <w:rsid w:val="002E179B"/>
    <w:rsid w:val="002E1860"/>
    <w:rsid w:val="002E1C9E"/>
    <w:rsid w:val="002E1F29"/>
    <w:rsid w:val="002E2127"/>
    <w:rsid w:val="002E253F"/>
    <w:rsid w:val="002E257B"/>
    <w:rsid w:val="002E32C9"/>
    <w:rsid w:val="002E335D"/>
    <w:rsid w:val="002E33EC"/>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295"/>
    <w:rsid w:val="002E7909"/>
    <w:rsid w:val="002F045A"/>
    <w:rsid w:val="002F0B35"/>
    <w:rsid w:val="002F0C28"/>
    <w:rsid w:val="002F1011"/>
    <w:rsid w:val="002F1151"/>
    <w:rsid w:val="002F1A5D"/>
    <w:rsid w:val="002F1CDC"/>
    <w:rsid w:val="002F1EF9"/>
    <w:rsid w:val="002F2294"/>
    <w:rsid w:val="002F23C4"/>
    <w:rsid w:val="002F27C7"/>
    <w:rsid w:val="002F3320"/>
    <w:rsid w:val="002F3357"/>
    <w:rsid w:val="002F3646"/>
    <w:rsid w:val="002F3ABC"/>
    <w:rsid w:val="002F3CDE"/>
    <w:rsid w:val="002F3D27"/>
    <w:rsid w:val="002F3DAB"/>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100"/>
    <w:rsid w:val="00301294"/>
    <w:rsid w:val="003016EB"/>
    <w:rsid w:val="0030172D"/>
    <w:rsid w:val="003019A5"/>
    <w:rsid w:val="00301AD0"/>
    <w:rsid w:val="00301E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536"/>
    <w:rsid w:val="00314679"/>
    <w:rsid w:val="00314684"/>
    <w:rsid w:val="003147CB"/>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1B2"/>
    <w:rsid w:val="00320405"/>
    <w:rsid w:val="00320618"/>
    <w:rsid w:val="003206D9"/>
    <w:rsid w:val="00320920"/>
    <w:rsid w:val="00320994"/>
    <w:rsid w:val="00320D5A"/>
    <w:rsid w:val="00320FBE"/>
    <w:rsid w:val="0032100B"/>
    <w:rsid w:val="00321039"/>
    <w:rsid w:val="003210D1"/>
    <w:rsid w:val="003210D8"/>
    <w:rsid w:val="0032173F"/>
    <w:rsid w:val="00321749"/>
    <w:rsid w:val="003217BC"/>
    <w:rsid w:val="00321B18"/>
    <w:rsid w:val="00321BD7"/>
    <w:rsid w:val="00322530"/>
    <w:rsid w:val="0032260F"/>
    <w:rsid w:val="003228DA"/>
    <w:rsid w:val="00322A8E"/>
    <w:rsid w:val="00322E79"/>
    <w:rsid w:val="00323620"/>
    <w:rsid w:val="00323922"/>
    <w:rsid w:val="00323AC9"/>
    <w:rsid w:val="00323B19"/>
    <w:rsid w:val="00323CB2"/>
    <w:rsid w:val="00323D6B"/>
    <w:rsid w:val="00323EE8"/>
    <w:rsid w:val="003244E7"/>
    <w:rsid w:val="003245F8"/>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71D"/>
    <w:rsid w:val="00331FC3"/>
    <w:rsid w:val="00332182"/>
    <w:rsid w:val="003325DA"/>
    <w:rsid w:val="00332AC6"/>
    <w:rsid w:val="003332F6"/>
    <w:rsid w:val="00333351"/>
    <w:rsid w:val="00333429"/>
    <w:rsid w:val="003336B3"/>
    <w:rsid w:val="00333AF2"/>
    <w:rsid w:val="00333ECE"/>
    <w:rsid w:val="00333F7B"/>
    <w:rsid w:val="00333FE9"/>
    <w:rsid w:val="00334338"/>
    <w:rsid w:val="00334486"/>
    <w:rsid w:val="003344BC"/>
    <w:rsid w:val="00334563"/>
    <w:rsid w:val="00334615"/>
    <w:rsid w:val="00334972"/>
    <w:rsid w:val="00335009"/>
    <w:rsid w:val="00335288"/>
    <w:rsid w:val="00335B75"/>
    <w:rsid w:val="00335C6D"/>
    <w:rsid w:val="00335D8C"/>
    <w:rsid w:val="00336072"/>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103"/>
    <w:rsid w:val="00355402"/>
    <w:rsid w:val="003554CA"/>
    <w:rsid w:val="00355A32"/>
    <w:rsid w:val="003560EE"/>
    <w:rsid w:val="0035659B"/>
    <w:rsid w:val="00356772"/>
    <w:rsid w:val="003567AC"/>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1D00"/>
    <w:rsid w:val="0036209C"/>
    <w:rsid w:val="00362283"/>
    <w:rsid w:val="00362569"/>
    <w:rsid w:val="0036263F"/>
    <w:rsid w:val="003628BB"/>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4BC0"/>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802DC"/>
    <w:rsid w:val="00380A1E"/>
    <w:rsid w:val="00380E4E"/>
    <w:rsid w:val="00380F58"/>
    <w:rsid w:val="00380FBF"/>
    <w:rsid w:val="003810BB"/>
    <w:rsid w:val="00381239"/>
    <w:rsid w:val="00381AF7"/>
    <w:rsid w:val="00381D4A"/>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4723"/>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E77"/>
    <w:rsid w:val="00392582"/>
    <w:rsid w:val="00392876"/>
    <w:rsid w:val="003928BC"/>
    <w:rsid w:val="003928C3"/>
    <w:rsid w:val="003929AB"/>
    <w:rsid w:val="00392F30"/>
    <w:rsid w:val="00393324"/>
    <w:rsid w:val="0039353C"/>
    <w:rsid w:val="003937EA"/>
    <w:rsid w:val="00393D5C"/>
    <w:rsid w:val="00393EC3"/>
    <w:rsid w:val="003940CE"/>
    <w:rsid w:val="0039548A"/>
    <w:rsid w:val="003955AF"/>
    <w:rsid w:val="0039564E"/>
    <w:rsid w:val="00395C0C"/>
    <w:rsid w:val="00395CCF"/>
    <w:rsid w:val="003961F7"/>
    <w:rsid w:val="00396390"/>
    <w:rsid w:val="003963CE"/>
    <w:rsid w:val="00396514"/>
    <w:rsid w:val="00396D49"/>
    <w:rsid w:val="00396D8C"/>
    <w:rsid w:val="00396E48"/>
    <w:rsid w:val="003976F3"/>
    <w:rsid w:val="00397A10"/>
    <w:rsid w:val="00397C1D"/>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E7D"/>
    <w:rsid w:val="003A2EC3"/>
    <w:rsid w:val="003A357B"/>
    <w:rsid w:val="003A365F"/>
    <w:rsid w:val="003A36F2"/>
    <w:rsid w:val="003A3D38"/>
    <w:rsid w:val="003A3D39"/>
    <w:rsid w:val="003A3EC7"/>
    <w:rsid w:val="003A40B4"/>
    <w:rsid w:val="003A4400"/>
    <w:rsid w:val="003A4C73"/>
    <w:rsid w:val="003A5D9C"/>
    <w:rsid w:val="003A6A81"/>
    <w:rsid w:val="003A6C72"/>
    <w:rsid w:val="003A6F1A"/>
    <w:rsid w:val="003A6FED"/>
    <w:rsid w:val="003A7834"/>
    <w:rsid w:val="003A7B2C"/>
    <w:rsid w:val="003A7FC3"/>
    <w:rsid w:val="003B0124"/>
    <w:rsid w:val="003B0A03"/>
    <w:rsid w:val="003B0A0B"/>
    <w:rsid w:val="003B0B5B"/>
    <w:rsid w:val="003B0E43"/>
    <w:rsid w:val="003B0E79"/>
    <w:rsid w:val="003B1412"/>
    <w:rsid w:val="003B1571"/>
    <w:rsid w:val="003B19A2"/>
    <w:rsid w:val="003B1A9C"/>
    <w:rsid w:val="003B1AFE"/>
    <w:rsid w:val="003B1B0D"/>
    <w:rsid w:val="003B1C6B"/>
    <w:rsid w:val="003B251D"/>
    <w:rsid w:val="003B2EDC"/>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700E"/>
    <w:rsid w:val="003B75A1"/>
    <w:rsid w:val="003B7752"/>
    <w:rsid w:val="003B7D4E"/>
    <w:rsid w:val="003B7D7E"/>
    <w:rsid w:val="003C0211"/>
    <w:rsid w:val="003C04DB"/>
    <w:rsid w:val="003C0C9E"/>
    <w:rsid w:val="003C0D0F"/>
    <w:rsid w:val="003C0DE5"/>
    <w:rsid w:val="003C1012"/>
    <w:rsid w:val="003C11C9"/>
    <w:rsid w:val="003C1229"/>
    <w:rsid w:val="003C16E2"/>
    <w:rsid w:val="003C1D6B"/>
    <w:rsid w:val="003C1FD4"/>
    <w:rsid w:val="003C213D"/>
    <w:rsid w:val="003C215E"/>
    <w:rsid w:val="003C25AD"/>
    <w:rsid w:val="003C2934"/>
    <w:rsid w:val="003C2D21"/>
    <w:rsid w:val="003C314A"/>
    <w:rsid w:val="003C325E"/>
    <w:rsid w:val="003C3CA3"/>
    <w:rsid w:val="003C41DD"/>
    <w:rsid w:val="003C4474"/>
    <w:rsid w:val="003C4DD5"/>
    <w:rsid w:val="003C57D7"/>
    <w:rsid w:val="003C5E6B"/>
    <w:rsid w:val="003C62C3"/>
    <w:rsid w:val="003C6654"/>
    <w:rsid w:val="003C682A"/>
    <w:rsid w:val="003C71E3"/>
    <w:rsid w:val="003C7364"/>
    <w:rsid w:val="003C78F4"/>
    <w:rsid w:val="003C7939"/>
    <w:rsid w:val="003C7AD7"/>
    <w:rsid w:val="003C7E72"/>
    <w:rsid w:val="003C7FE4"/>
    <w:rsid w:val="003D0379"/>
    <w:rsid w:val="003D0948"/>
    <w:rsid w:val="003D0979"/>
    <w:rsid w:val="003D0FC3"/>
    <w:rsid w:val="003D1058"/>
    <w:rsid w:val="003D134F"/>
    <w:rsid w:val="003D150D"/>
    <w:rsid w:val="003D1A20"/>
    <w:rsid w:val="003D261F"/>
    <w:rsid w:val="003D2C1D"/>
    <w:rsid w:val="003D2C34"/>
    <w:rsid w:val="003D2DF8"/>
    <w:rsid w:val="003D329B"/>
    <w:rsid w:val="003D3494"/>
    <w:rsid w:val="003D365C"/>
    <w:rsid w:val="003D39D2"/>
    <w:rsid w:val="003D3AA6"/>
    <w:rsid w:val="003D3D88"/>
    <w:rsid w:val="003D3DDD"/>
    <w:rsid w:val="003D41CD"/>
    <w:rsid w:val="003D44CE"/>
    <w:rsid w:val="003D45A4"/>
    <w:rsid w:val="003D4893"/>
    <w:rsid w:val="003D4D67"/>
    <w:rsid w:val="003D50E5"/>
    <w:rsid w:val="003D50F5"/>
    <w:rsid w:val="003D5138"/>
    <w:rsid w:val="003D55AE"/>
    <w:rsid w:val="003D5CBF"/>
    <w:rsid w:val="003D64E0"/>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884"/>
    <w:rsid w:val="003E69AF"/>
    <w:rsid w:val="003E6AC5"/>
    <w:rsid w:val="003E77FC"/>
    <w:rsid w:val="003F0096"/>
    <w:rsid w:val="003F0662"/>
    <w:rsid w:val="003F0728"/>
    <w:rsid w:val="003F0850"/>
    <w:rsid w:val="003F0B0D"/>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F9"/>
    <w:rsid w:val="004007A1"/>
    <w:rsid w:val="004010A8"/>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A3B"/>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F2"/>
    <w:rsid w:val="00413435"/>
    <w:rsid w:val="0041351F"/>
    <w:rsid w:val="00413762"/>
    <w:rsid w:val="004137B6"/>
    <w:rsid w:val="004138A6"/>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3641"/>
    <w:rsid w:val="0042394C"/>
    <w:rsid w:val="00423C33"/>
    <w:rsid w:val="00423E24"/>
    <w:rsid w:val="00423E32"/>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EFD"/>
    <w:rsid w:val="00427145"/>
    <w:rsid w:val="004272A9"/>
    <w:rsid w:val="004274B1"/>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29D8"/>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5317"/>
    <w:rsid w:val="00445391"/>
    <w:rsid w:val="00445618"/>
    <w:rsid w:val="00445EAC"/>
    <w:rsid w:val="004460E2"/>
    <w:rsid w:val="004461D9"/>
    <w:rsid w:val="004466C1"/>
    <w:rsid w:val="004469B8"/>
    <w:rsid w:val="00446AC6"/>
    <w:rsid w:val="00446CA1"/>
    <w:rsid w:val="00447035"/>
    <w:rsid w:val="0044707F"/>
    <w:rsid w:val="00447534"/>
    <w:rsid w:val="0044759B"/>
    <w:rsid w:val="00447C3D"/>
    <w:rsid w:val="00447F54"/>
    <w:rsid w:val="00450113"/>
    <w:rsid w:val="00450269"/>
    <w:rsid w:val="00450700"/>
    <w:rsid w:val="00450A85"/>
    <w:rsid w:val="00450B7E"/>
    <w:rsid w:val="00450BC6"/>
    <w:rsid w:val="00450CCF"/>
    <w:rsid w:val="0045136B"/>
    <w:rsid w:val="004516AA"/>
    <w:rsid w:val="004518BC"/>
    <w:rsid w:val="00451A59"/>
    <w:rsid w:val="00451C7E"/>
    <w:rsid w:val="004521F5"/>
    <w:rsid w:val="00452391"/>
    <w:rsid w:val="00452915"/>
    <w:rsid w:val="004529CC"/>
    <w:rsid w:val="0045320B"/>
    <w:rsid w:val="004535D0"/>
    <w:rsid w:val="00453850"/>
    <w:rsid w:val="004539F6"/>
    <w:rsid w:val="00453BB6"/>
    <w:rsid w:val="00453CAA"/>
    <w:rsid w:val="00453DB8"/>
    <w:rsid w:val="00453F39"/>
    <w:rsid w:val="00454717"/>
    <w:rsid w:val="0045483B"/>
    <w:rsid w:val="00455113"/>
    <w:rsid w:val="004557A2"/>
    <w:rsid w:val="004559E2"/>
    <w:rsid w:val="00455E25"/>
    <w:rsid w:val="00456405"/>
    <w:rsid w:val="00456421"/>
    <w:rsid w:val="0045669B"/>
    <w:rsid w:val="00456718"/>
    <w:rsid w:val="00456DAB"/>
    <w:rsid w:val="00456FEA"/>
    <w:rsid w:val="00457478"/>
    <w:rsid w:val="004577F5"/>
    <w:rsid w:val="00460978"/>
    <w:rsid w:val="00460AF3"/>
    <w:rsid w:val="00460C4D"/>
    <w:rsid w:val="00460CC3"/>
    <w:rsid w:val="00460E86"/>
    <w:rsid w:val="00460FC4"/>
    <w:rsid w:val="0046106B"/>
    <w:rsid w:val="0046142F"/>
    <w:rsid w:val="00461747"/>
    <w:rsid w:val="004617DD"/>
    <w:rsid w:val="004619AF"/>
    <w:rsid w:val="00461A27"/>
    <w:rsid w:val="00461D9E"/>
    <w:rsid w:val="00461FE3"/>
    <w:rsid w:val="004620A0"/>
    <w:rsid w:val="00462162"/>
    <w:rsid w:val="0046216E"/>
    <w:rsid w:val="00462A90"/>
    <w:rsid w:val="00462B61"/>
    <w:rsid w:val="004630EC"/>
    <w:rsid w:val="0046318D"/>
    <w:rsid w:val="00463326"/>
    <w:rsid w:val="004637F7"/>
    <w:rsid w:val="00463B7C"/>
    <w:rsid w:val="00463F22"/>
    <w:rsid w:val="00464289"/>
    <w:rsid w:val="004646B4"/>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7D4"/>
    <w:rsid w:val="004678AF"/>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74C"/>
    <w:rsid w:val="00473D15"/>
    <w:rsid w:val="0047406A"/>
    <w:rsid w:val="00474220"/>
    <w:rsid w:val="00474BD0"/>
    <w:rsid w:val="00474D7D"/>
    <w:rsid w:val="00474F67"/>
    <w:rsid w:val="00474FDF"/>
    <w:rsid w:val="004752D3"/>
    <w:rsid w:val="004754E1"/>
    <w:rsid w:val="004758F8"/>
    <w:rsid w:val="00475CE0"/>
    <w:rsid w:val="00475D0C"/>
    <w:rsid w:val="00475E50"/>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1D67"/>
    <w:rsid w:val="00482063"/>
    <w:rsid w:val="00482636"/>
    <w:rsid w:val="00482BBE"/>
    <w:rsid w:val="004833FF"/>
    <w:rsid w:val="00483866"/>
    <w:rsid w:val="004838BD"/>
    <w:rsid w:val="00483A12"/>
    <w:rsid w:val="00483B7C"/>
    <w:rsid w:val="00483BC2"/>
    <w:rsid w:val="00483CDC"/>
    <w:rsid w:val="00483E43"/>
    <w:rsid w:val="0048471A"/>
    <w:rsid w:val="00484A77"/>
    <w:rsid w:val="00484CA3"/>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4242"/>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80D"/>
    <w:rsid w:val="00497D9E"/>
    <w:rsid w:val="004A0144"/>
    <w:rsid w:val="004A019D"/>
    <w:rsid w:val="004A026D"/>
    <w:rsid w:val="004A04FC"/>
    <w:rsid w:val="004A08E9"/>
    <w:rsid w:val="004A0A04"/>
    <w:rsid w:val="004A0D7B"/>
    <w:rsid w:val="004A0F39"/>
    <w:rsid w:val="004A10BE"/>
    <w:rsid w:val="004A165E"/>
    <w:rsid w:val="004A175E"/>
    <w:rsid w:val="004A1B1F"/>
    <w:rsid w:val="004A2039"/>
    <w:rsid w:val="004A224D"/>
    <w:rsid w:val="004A251F"/>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D9"/>
    <w:rsid w:val="004B3CE8"/>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317"/>
    <w:rsid w:val="004C45F3"/>
    <w:rsid w:val="004C47E9"/>
    <w:rsid w:val="004C4C37"/>
    <w:rsid w:val="004C5158"/>
    <w:rsid w:val="004C5245"/>
    <w:rsid w:val="004C5319"/>
    <w:rsid w:val="004C5693"/>
    <w:rsid w:val="004C5848"/>
    <w:rsid w:val="004C5A1C"/>
    <w:rsid w:val="004C5ED1"/>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AE0"/>
    <w:rsid w:val="004E0BB6"/>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F49"/>
    <w:rsid w:val="004E4F5F"/>
    <w:rsid w:val="004E522D"/>
    <w:rsid w:val="004E5503"/>
    <w:rsid w:val="004E55B5"/>
    <w:rsid w:val="004E55E5"/>
    <w:rsid w:val="004E5FC7"/>
    <w:rsid w:val="004E6399"/>
    <w:rsid w:val="004E65A2"/>
    <w:rsid w:val="004E664E"/>
    <w:rsid w:val="004E671C"/>
    <w:rsid w:val="004E6913"/>
    <w:rsid w:val="004E7230"/>
    <w:rsid w:val="004E73A2"/>
    <w:rsid w:val="004E73E8"/>
    <w:rsid w:val="004E7E72"/>
    <w:rsid w:val="004E7FA2"/>
    <w:rsid w:val="004F049E"/>
    <w:rsid w:val="004F08F0"/>
    <w:rsid w:val="004F0A0A"/>
    <w:rsid w:val="004F0D24"/>
    <w:rsid w:val="004F0E58"/>
    <w:rsid w:val="004F0FB9"/>
    <w:rsid w:val="004F15EA"/>
    <w:rsid w:val="004F1952"/>
    <w:rsid w:val="004F1CCA"/>
    <w:rsid w:val="004F1D14"/>
    <w:rsid w:val="004F28BB"/>
    <w:rsid w:val="004F2F7E"/>
    <w:rsid w:val="004F3283"/>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7139"/>
    <w:rsid w:val="004F7523"/>
    <w:rsid w:val="004F7528"/>
    <w:rsid w:val="004F79BA"/>
    <w:rsid w:val="004F7AF1"/>
    <w:rsid w:val="004F7B3D"/>
    <w:rsid w:val="004F7BCA"/>
    <w:rsid w:val="004F7D89"/>
    <w:rsid w:val="0050017A"/>
    <w:rsid w:val="00500288"/>
    <w:rsid w:val="00500972"/>
    <w:rsid w:val="00500BF4"/>
    <w:rsid w:val="005012A7"/>
    <w:rsid w:val="00501597"/>
    <w:rsid w:val="005016FF"/>
    <w:rsid w:val="00501981"/>
    <w:rsid w:val="00501A85"/>
    <w:rsid w:val="00501BB3"/>
    <w:rsid w:val="0050209F"/>
    <w:rsid w:val="005021DD"/>
    <w:rsid w:val="005026CA"/>
    <w:rsid w:val="0050273D"/>
    <w:rsid w:val="00502A30"/>
    <w:rsid w:val="00502B72"/>
    <w:rsid w:val="00502DE6"/>
    <w:rsid w:val="00503B76"/>
    <w:rsid w:val="00503DD0"/>
    <w:rsid w:val="00503E02"/>
    <w:rsid w:val="00504081"/>
    <w:rsid w:val="00504B63"/>
    <w:rsid w:val="00504BC1"/>
    <w:rsid w:val="00504CA8"/>
    <w:rsid w:val="00504D58"/>
    <w:rsid w:val="0050509E"/>
    <w:rsid w:val="00505134"/>
    <w:rsid w:val="0050581C"/>
    <w:rsid w:val="00505C04"/>
    <w:rsid w:val="005061F0"/>
    <w:rsid w:val="005064A1"/>
    <w:rsid w:val="00506984"/>
    <w:rsid w:val="00506BA9"/>
    <w:rsid w:val="00506C33"/>
    <w:rsid w:val="00506DA9"/>
    <w:rsid w:val="005070F0"/>
    <w:rsid w:val="005072D5"/>
    <w:rsid w:val="00507A1D"/>
    <w:rsid w:val="00507CCA"/>
    <w:rsid w:val="005102F8"/>
    <w:rsid w:val="005104F3"/>
    <w:rsid w:val="00510C72"/>
    <w:rsid w:val="00510E33"/>
    <w:rsid w:val="00511099"/>
    <w:rsid w:val="0051167A"/>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7A9"/>
    <w:rsid w:val="00515881"/>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4BE"/>
    <w:rsid w:val="00524545"/>
    <w:rsid w:val="00524BCF"/>
    <w:rsid w:val="00524CC4"/>
    <w:rsid w:val="00524D21"/>
    <w:rsid w:val="005255BF"/>
    <w:rsid w:val="005257DE"/>
    <w:rsid w:val="005262A8"/>
    <w:rsid w:val="005265B2"/>
    <w:rsid w:val="00527200"/>
    <w:rsid w:val="0052776B"/>
    <w:rsid w:val="005277CB"/>
    <w:rsid w:val="00527B0F"/>
    <w:rsid w:val="00530157"/>
    <w:rsid w:val="00530294"/>
    <w:rsid w:val="005302B5"/>
    <w:rsid w:val="00530630"/>
    <w:rsid w:val="0053083D"/>
    <w:rsid w:val="005308E4"/>
    <w:rsid w:val="005309A7"/>
    <w:rsid w:val="00530B18"/>
    <w:rsid w:val="00530C5E"/>
    <w:rsid w:val="00531110"/>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AD4"/>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C4"/>
    <w:rsid w:val="00556D68"/>
    <w:rsid w:val="00556DC2"/>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700FE"/>
    <w:rsid w:val="00570531"/>
    <w:rsid w:val="005709D2"/>
    <w:rsid w:val="00570E24"/>
    <w:rsid w:val="00570FB4"/>
    <w:rsid w:val="0057102B"/>
    <w:rsid w:val="00571844"/>
    <w:rsid w:val="0057265C"/>
    <w:rsid w:val="00572760"/>
    <w:rsid w:val="00572AF3"/>
    <w:rsid w:val="00573331"/>
    <w:rsid w:val="005733AD"/>
    <w:rsid w:val="00573B45"/>
    <w:rsid w:val="005741A2"/>
    <w:rsid w:val="005743DE"/>
    <w:rsid w:val="00574611"/>
    <w:rsid w:val="00574984"/>
    <w:rsid w:val="00574A0B"/>
    <w:rsid w:val="00574B45"/>
    <w:rsid w:val="00574B65"/>
    <w:rsid w:val="00574CCF"/>
    <w:rsid w:val="00574D04"/>
    <w:rsid w:val="00574E11"/>
    <w:rsid w:val="00574E9C"/>
    <w:rsid w:val="00574F3F"/>
    <w:rsid w:val="00575264"/>
    <w:rsid w:val="005753BB"/>
    <w:rsid w:val="00575432"/>
    <w:rsid w:val="0057562C"/>
    <w:rsid w:val="005757CE"/>
    <w:rsid w:val="005759F6"/>
    <w:rsid w:val="00575D6C"/>
    <w:rsid w:val="00575E3E"/>
    <w:rsid w:val="00575FD1"/>
    <w:rsid w:val="005762F0"/>
    <w:rsid w:val="005765F5"/>
    <w:rsid w:val="00576D44"/>
    <w:rsid w:val="00576D6C"/>
    <w:rsid w:val="005772C1"/>
    <w:rsid w:val="005772F7"/>
    <w:rsid w:val="00577A2E"/>
    <w:rsid w:val="00580443"/>
    <w:rsid w:val="00580867"/>
    <w:rsid w:val="005808D3"/>
    <w:rsid w:val="00580D15"/>
    <w:rsid w:val="00580D9F"/>
    <w:rsid w:val="00580E11"/>
    <w:rsid w:val="00580E48"/>
    <w:rsid w:val="00580F0A"/>
    <w:rsid w:val="00580F4E"/>
    <w:rsid w:val="00581246"/>
    <w:rsid w:val="005814DC"/>
    <w:rsid w:val="005817AE"/>
    <w:rsid w:val="00581E8B"/>
    <w:rsid w:val="005822DF"/>
    <w:rsid w:val="00582710"/>
    <w:rsid w:val="0058275B"/>
    <w:rsid w:val="005827AA"/>
    <w:rsid w:val="00582866"/>
    <w:rsid w:val="0058288E"/>
    <w:rsid w:val="00582A67"/>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310"/>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3CD"/>
    <w:rsid w:val="00591909"/>
    <w:rsid w:val="00591A7A"/>
    <w:rsid w:val="00591BE3"/>
    <w:rsid w:val="00591C7D"/>
    <w:rsid w:val="00591D5C"/>
    <w:rsid w:val="00592403"/>
    <w:rsid w:val="00592470"/>
    <w:rsid w:val="00592651"/>
    <w:rsid w:val="005926A9"/>
    <w:rsid w:val="005928F6"/>
    <w:rsid w:val="00592B03"/>
    <w:rsid w:val="00592E83"/>
    <w:rsid w:val="00592EA7"/>
    <w:rsid w:val="00593056"/>
    <w:rsid w:val="00593379"/>
    <w:rsid w:val="005937EC"/>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6E3"/>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424"/>
    <w:rsid w:val="005A1C21"/>
    <w:rsid w:val="005A21E4"/>
    <w:rsid w:val="005A22C7"/>
    <w:rsid w:val="005A269F"/>
    <w:rsid w:val="005A2ADD"/>
    <w:rsid w:val="005A2CE0"/>
    <w:rsid w:val="005A305E"/>
    <w:rsid w:val="005A30BB"/>
    <w:rsid w:val="005A33CF"/>
    <w:rsid w:val="005A35F8"/>
    <w:rsid w:val="005A3887"/>
    <w:rsid w:val="005A43B9"/>
    <w:rsid w:val="005A45D4"/>
    <w:rsid w:val="005A4A3C"/>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64A"/>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3A0"/>
    <w:rsid w:val="005B57CB"/>
    <w:rsid w:val="005B5EEB"/>
    <w:rsid w:val="005B61D6"/>
    <w:rsid w:val="005B7DD1"/>
    <w:rsid w:val="005C007A"/>
    <w:rsid w:val="005C00A0"/>
    <w:rsid w:val="005C045C"/>
    <w:rsid w:val="005C045D"/>
    <w:rsid w:val="005C0A48"/>
    <w:rsid w:val="005C0DD2"/>
    <w:rsid w:val="005C1FC5"/>
    <w:rsid w:val="005C28FA"/>
    <w:rsid w:val="005C297A"/>
    <w:rsid w:val="005C2E03"/>
    <w:rsid w:val="005C2EDC"/>
    <w:rsid w:val="005C31E7"/>
    <w:rsid w:val="005C40F4"/>
    <w:rsid w:val="005C43BE"/>
    <w:rsid w:val="005C441A"/>
    <w:rsid w:val="005C44F3"/>
    <w:rsid w:val="005C491E"/>
    <w:rsid w:val="005C495F"/>
    <w:rsid w:val="005C4CC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D22"/>
    <w:rsid w:val="005D602B"/>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50D8"/>
    <w:rsid w:val="005F5365"/>
    <w:rsid w:val="005F53A1"/>
    <w:rsid w:val="005F53B8"/>
    <w:rsid w:val="005F559E"/>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402B"/>
    <w:rsid w:val="006041A0"/>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0E1B"/>
    <w:rsid w:val="00611D77"/>
    <w:rsid w:val="00611DF5"/>
    <w:rsid w:val="006120DE"/>
    <w:rsid w:val="006127F1"/>
    <w:rsid w:val="006128D6"/>
    <w:rsid w:val="00612A7A"/>
    <w:rsid w:val="00612C77"/>
    <w:rsid w:val="006130F7"/>
    <w:rsid w:val="006131EF"/>
    <w:rsid w:val="00613AF8"/>
    <w:rsid w:val="00613D8E"/>
    <w:rsid w:val="00613F19"/>
    <w:rsid w:val="006142E0"/>
    <w:rsid w:val="006145CC"/>
    <w:rsid w:val="006151BA"/>
    <w:rsid w:val="006151EE"/>
    <w:rsid w:val="00615A47"/>
    <w:rsid w:val="00615E2A"/>
    <w:rsid w:val="00615FA4"/>
    <w:rsid w:val="00615FF4"/>
    <w:rsid w:val="00616112"/>
    <w:rsid w:val="00616617"/>
    <w:rsid w:val="00617173"/>
    <w:rsid w:val="00617186"/>
    <w:rsid w:val="006174DE"/>
    <w:rsid w:val="006174EC"/>
    <w:rsid w:val="00617672"/>
    <w:rsid w:val="006178CE"/>
    <w:rsid w:val="00617E84"/>
    <w:rsid w:val="006201A5"/>
    <w:rsid w:val="006205CA"/>
    <w:rsid w:val="0062071B"/>
    <w:rsid w:val="006207AE"/>
    <w:rsid w:val="00620F01"/>
    <w:rsid w:val="00620F23"/>
    <w:rsid w:val="00621648"/>
    <w:rsid w:val="006217B4"/>
    <w:rsid w:val="0062193A"/>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98D"/>
    <w:rsid w:val="00623EF3"/>
    <w:rsid w:val="00624226"/>
    <w:rsid w:val="006244C9"/>
    <w:rsid w:val="006245F6"/>
    <w:rsid w:val="0062475D"/>
    <w:rsid w:val="006247E8"/>
    <w:rsid w:val="0062495F"/>
    <w:rsid w:val="00624C31"/>
    <w:rsid w:val="00624CE0"/>
    <w:rsid w:val="0062509E"/>
    <w:rsid w:val="006262D3"/>
    <w:rsid w:val="0062660B"/>
    <w:rsid w:val="006268C7"/>
    <w:rsid w:val="006268D9"/>
    <w:rsid w:val="006269F9"/>
    <w:rsid w:val="00626A62"/>
    <w:rsid w:val="00626AD1"/>
    <w:rsid w:val="00626B8D"/>
    <w:rsid w:val="0062796A"/>
    <w:rsid w:val="00627990"/>
    <w:rsid w:val="00627BAD"/>
    <w:rsid w:val="0063002B"/>
    <w:rsid w:val="006302FA"/>
    <w:rsid w:val="0063039F"/>
    <w:rsid w:val="006304BC"/>
    <w:rsid w:val="00630865"/>
    <w:rsid w:val="00630DCE"/>
    <w:rsid w:val="00630E1F"/>
    <w:rsid w:val="00631019"/>
    <w:rsid w:val="0063120A"/>
    <w:rsid w:val="00631244"/>
    <w:rsid w:val="0063150B"/>
    <w:rsid w:val="00631585"/>
    <w:rsid w:val="0063176F"/>
    <w:rsid w:val="00631B30"/>
    <w:rsid w:val="00631D8E"/>
    <w:rsid w:val="00631DE0"/>
    <w:rsid w:val="00631F18"/>
    <w:rsid w:val="00632433"/>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B6F"/>
    <w:rsid w:val="00644CA8"/>
    <w:rsid w:val="006456FC"/>
    <w:rsid w:val="00645A99"/>
    <w:rsid w:val="00645D93"/>
    <w:rsid w:val="00645E15"/>
    <w:rsid w:val="00645E61"/>
    <w:rsid w:val="0064631A"/>
    <w:rsid w:val="0064658F"/>
    <w:rsid w:val="006465C6"/>
    <w:rsid w:val="0064662E"/>
    <w:rsid w:val="006476B7"/>
    <w:rsid w:val="00647947"/>
    <w:rsid w:val="00647A3F"/>
    <w:rsid w:val="00647AAC"/>
    <w:rsid w:val="00650139"/>
    <w:rsid w:val="0065013D"/>
    <w:rsid w:val="00650665"/>
    <w:rsid w:val="006506A2"/>
    <w:rsid w:val="00650FB1"/>
    <w:rsid w:val="00651021"/>
    <w:rsid w:val="0065128E"/>
    <w:rsid w:val="006512B6"/>
    <w:rsid w:val="0065221D"/>
    <w:rsid w:val="00652756"/>
    <w:rsid w:val="00652AD8"/>
    <w:rsid w:val="00652B79"/>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506"/>
    <w:rsid w:val="0065570D"/>
    <w:rsid w:val="006557A9"/>
    <w:rsid w:val="00655B63"/>
    <w:rsid w:val="00655F98"/>
    <w:rsid w:val="0065601D"/>
    <w:rsid w:val="00656383"/>
    <w:rsid w:val="006568C8"/>
    <w:rsid w:val="00657072"/>
    <w:rsid w:val="006571CC"/>
    <w:rsid w:val="006571F6"/>
    <w:rsid w:val="006571FB"/>
    <w:rsid w:val="00657202"/>
    <w:rsid w:val="00657959"/>
    <w:rsid w:val="00657C8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B21"/>
    <w:rsid w:val="00663D5B"/>
    <w:rsid w:val="00663FFA"/>
    <w:rsid w:val="00664555"/>
    <w:rsid w:val="0066477F"/>
    <w:rsid w:val="00664F2B"/>
    <w:rsid w:val="0066530F"/>
    <w:rsid w:val="00665391"/>
    <w:rsid w:val="00665865"/>
    <w:rsid w:val="00665A07"/>
    <w:rsid w:val="00665CE6"/>
    <w:rsid w:val="00666536"/>
    <w:rsid w:val="00666BF8"/>
    <w:rsid w:val="00666CFC"/>
    <w:rsid w:val="00666DC6"/>
    <w:rsid w:val="00666F8E"/>
    <w:rsid w:val="006670CC"/>
    <w:rsid w:val="0066732C"/>
    <w:rsid w:val="006679F5"/>
    <w:rsid w:val="00667A19"/>
    <w:rsid w:val="00667B77"/>
    <w:rsid w:val="00667D9F"/>
    <w:rsid w:val="00667EBC"/>
    <w:rsid w:val="0067001B"/>
    <w:rsid w:val="00670489"/>
    <w:rsid w:val="00670495"/>
    <w:rsid w:val="0067057D"/>
    <w:rsid w:val="0067080E"/>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71EB"/>
    <w:rsid w:val="00677443"/>
    <w:rsid w:val="0067769A"/>
    <w:rsid w:val="00677EC5"/>
    <w:rsid w:val="00677F3B"/>
    <w:rsid w:val="006805AB"/>
    <w:rsid w:val="006806A3"/>
    <w:rsid w:val="006806A6"/>
    <w:rsid w:val="006807FD"/>
    <w:rsid w:val="00680AF5"/>
    <w:rsid w:val="00680B88"/>
    <w:rsid w:val="00680C1C"/>
    <w:rsid w:val="00680D68"/>
    <w:rsid w:val="00680E51"/>
    <w:rsid w:val="00680EC9"/>
    <w:rsid w:val="00681211"/>
    <w:rsid w:val="00681651"/>
    <w:rsid w:val="006817E9"/>
    <w:rsid w:val="00681B36"/>
    <w:rsid w:val="00681B62"/>
    <w:rsid w:val="00681CC3"/>
    <w:rsid w:val="00681CD3"/>
    <w:rsid w:val="00681D6A"/>
    <w:rsid w:val="006820BA"/>
    <w:rsid w:val="006822E4"/>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38E"/>
    <w:rsid w:val="006904D8"/>
    <w:rsid w:val="006909B2"/>
    <w:rsid w:val="00690A49"/>
    <w:rsid w:val="00690BB6"/>
    <w:rsid w:val="00691B03"/>
    <w:rsid w:val="00691B30"/>
    <w:rsid w:val="00691D36"/>
    <w:rsid w:val="00691D9A"/>
    <w:rsid w:val="006920FA"/>
    <w:rsid w:val="00692807"/>
    <w:rsid w:val="00692955"/>
    <w:rsid w:val="00692BDA"/>
    <w:rsid w:val="00692FE6"/>
    <w:rsid w:val="0069383E"/>
    <w:rsid w:val="00693A96"/>
    <w:rsid w:val="00693E1F"/>
    <w:rsid w:val="00693ECB"/>
    <w:rsid w:val="006941D1"/>
    <w:rsid w:val="00694797"/>
    <w:rsid w:val="00694A73"/>
    <w:rsid w:val="006954FA"/>
    <w:rsid w:val="00695887"/>
    <w:rsid w:val="006958C2"/>
    <w:rsid w:val="00695A46"/>
    <w:rsid w:val="00695F06"/>
    <w:rsid w:val="00696174"/>
    <w:rsid w:val="0069653D"/>
    <w:rsid w:val="006968A3"/>
    <w:rsid w:val="00696976"/>
    <w:rsid w:val="00696C39"/>
    <w:rsid w:val="00696D1B"/>
    <w:rsid w:val="00696EA8"/>
    <w:rsid w:val="006970F6"/>
    <w:rsid w:val="00697500"/>
    <w:rsid w:val="00697634"/>
    <w:rsid w:val="0069767A"/>
    <w:rsid w:val="00697714"/>
    <w:rsid w:val="00697733"/>
    <w:rsid w:val="0069776B"/>
    <w:rsid w:val="00697C37"/>
    <w:rsid w:val="006A0154"/>
    <w:rsid w:val="006A06B2"/>
    <w:rsid w:val="006A0A2D"/>
    <w:rsid w:val="006A0AB8"/>
    <w:rsid w:val="006A0DA9"/>
    <w:rsid w:val="006A0E2B"/>
    <w:rsid w:val="006A0F29"/>
    <w:rsid w:val="006A114B"/>
    <w:rsid w:val="006A1B06"/>
    <w:rsid w:val="006A1BCB"/>
    <w:rsid w:val="006A1F69"/>
    <w:rsid w:val="006A1FA4"/>
    <w:rsid w:val="006A1FAE"/>
    <w:rsid w:val="006A254E"/>
    <w:rsid w:val="006A270D"/>
    <w:rsid w:val="006A2711"/>
    <w:rsid w:val="006A2C30"/>
    <w:rsid w:val="006A2CFB"/>
    <w:rsid w:val="006A2E8D"/>
    <w:rsid w:val="006A301C"/>
    <w:rsid w:val="006A3262"/>
    <w:rsid w:val="006A3422"/>
    <w:rsid w:val="006A3520"/>
    <w:rsid w:val="006A3A6B"/>
    <w:rsid w:val="006A3D0F"/>
    <w:rsid w:val="006A3E2B"/>
    <w:rsid w:val="006A4080"/>
    <w:rsid w:val="006A4842"/>
    <w:rsid w:val="006A4B44"/>
    <w:rsid w:val="006A52CE"/>
    <w:rsid w:val="006A5925"/>
    <w:rsid w:val="006A5941"/>
    <w:rsid w:val="006A5A41"/>
    <w:rsid w:val="006A6288"/>
    <w:rsid w:val="006A6324"/>
    <w:rsid w:val="006A6886"/>
    <w:rsid w:val="006A6960"/>
    <w:rsid w:val="006A6E17"/>
    <w:rsid w:val="006A72E1"/>
    <w:rsid w:val="006A7368"/>
    <w:rsid w:val="006A7BB3"/>
    <w:rsid w:val="006A7BFB"/>
    <w:rsid w:val="006B01A8"/>
    <w:rsid w:val="006B039E"/>
    <w:rsid w:val="006B03DB"/>
    <w:rsid w:val="006B0A4C"/>
    <w:rsid w:val="006B120D"/>
    <w:rsid w:val="006B12F9"/>
    <w:rsid w:val="006B17E7"/>
    <w:rsid w:val="006B19E8"/>
    <w:rsid w:val="006B1A8A"/>
    <w:rsid w:val="006B1FD5"/>
    <w:rsid w:val="006B2113"/>
    <w:rsid w:val="006B2207"/>
    <w:rsid w:val="006B232E"/>
    <w:rsid w:val="006B27AC"/>
    <w:rsid w:val="006B2930"/>
    <w:rsid w:val="006B2A12"/>
    <w:rsid w:val="006B2F7D"/>
    <w:rsid w:val="006B3B27"/>
    <w:rsid w:val="006B3F1A"/>
    <w:rsid w:val="006B4662"/>
    <w:rsid w:val="006B4A4A"/>
    <w:rsid w:val="006B4D4A"/>
    <w:rsid w:val="006B4FD7"/>
    <w:rsid w:val="006B53C2"/>
    <w:rsid w:val="006B555A"/>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BB5"/>
    <w:rsid w:val="006C2BEE"/>
    <w:rsid w:val="006C2EA8"/>
    <w:rsid w:val="006C39FF"/>
    <w:rsid w:val="006C3AD8"/>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89B"/>
    <w:rsid w:val="006D28FF"/>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2BC"/>
    <w:rsid w:val="006D6450"/>
    <w:rsid w:val="006D6621"/>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A7A"/>
    <w:rsid w:val="006E6BE6"/>
    <w:rsid w:val="006E799D"/>
    <w:rsid w:val="006E7D07"/>
    <w:rsid w:val="006F0151"/>
    <w:rsid w:val="006F0166"/>
    <w:rsid w:val="006F04AC"/>
    <w:rsid w:val="006F0520"/>
    <w:rsid w:val="006F0593"/>
    <w:rsid w:val="006F0624"/>
    <w:rsid w:val="006F0BD2"/>
    <w:rsid w:val="006F0EF2"/>
    <w:rsid w:val="006F1064"/>
    <w:rsid w:val="006F1942"/>
    <w:rsid w:val="006F1EB7"/>
    <w:rsid w:val="006F2368"/>
    <w:rsid w:val="006F2676"/>
    <w:rsid w:val="006F27CD"/>
    <w:rsid w:val="006F2B14"/>
    <w:rsid w:val="006F2FE8"/>
    <w:rsid w:val="006F3BCB"/>
    <w:rsid w:val="006F40D5"/>
    <w:rsid w:val="006F40E7"/>
    <w:rsid w:val="006F424D"/>
    <w:rsid w:val="006F426C"/>
    <w:rsid w:val="006F469A"/>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90A"/>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D72"/>
    <w:rsid w:val="00721084"/>
    <w:rsid w:val="00721262"/>
    <w:rsid w:val="00721270"/>
    <w:rsid w:val="00721453"/>
    <w:rsid w:val="00721A33"/>
    <w:rsid w:val="00721C9E"/>
    <w:rsid w:val="00721D9B"/>
    <w:rsid w:val="00722121"/>
    <w:rsid w:val="0072214A"/>
    <w:rsid w:val="00722168"/>
    <w:rsid w:val="0072226D"/>
    <w:rsid w:val="00722475"/>
    <w:rsid w:val="007224B9"/>
    <w:rsid w:val="00722CB2"/>
    <w:rsid w:val="00722F94"/>
    <w:rsid w:val="0072337C"/>
    <w:rsid w:val="00723427"/>
    <w:rsid w:val="0072342F"/>
    <w:rsid w:val="00723AA7"/>
    <w:rsid w:val="00723AB7"/>
    <w:rsid w:val="00723B7E"/>
    <w:rsid w:val="00723ED0"/>
    <w:rsid w:val="00723ED9"/>
    <w:rsid w:val="00724149"/>
    <w:rsid w:val="0072432E"/>
    <w:rsid w:val="00724583"/>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1A6"/>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889"/>
    <w:rsid w:val="00740DE9"/>
    <w:rsid w:val="00740F95"/>
    <w:rsid w:val="007411B0"/>
    <w:rsid w:val="007415FA"/>
    <w:rsid w:val="007419A0"/>
    <w:rsid w:val="00741AF4"/>
    <w:rsid w:val="00741B8B"/>
    <w:rsid w:val="00741DCC"/>
    <w:rsid w:val="00741E84"/>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0E"/>
    <w:rsid w:val="00746425"/>
    <w:rsid w:val="00746484"/>
    <w:rsid w:val="00746A93"/>
    <w:rsid w:val="00746C00"/>
    <w:rsid w:val="0074704F"/>
    <w:rsid w:val="00747451"/>
    <w:rsid w:val="007476DA"/>
    <w:rsid w:val="00747F48"/>
    <w:rsid w:val="00747F4C"/>
    <w:rsid w:val="007501F8"/>
    <w:rsid w:val="00750644"/>
    <w:rsid w:val="00750B34"/>
    <w:rsid w:val="00750F22"/>
    <w:rsid w:val="00750FB4"/>
    <w:rsid w:val="00751000"/>
    <w:rsid w:val="00751091"/>
    <w:rsid w:val="007514C2"/>
    <w:rsid w:val="00751741"/>
    <w:rsid w:val="00751B7F"/>
    <w:rsid w:val="00751B83"/>
    <w:rsid w:val="00751CC9"/>
    <w:rsid w:val="00751E51"/>
    <w:rsid w:val="00751FF1"/>
    <w:rsid w:val="007526E2"/>
    <w:rsid w:val="0075277C"/>
    <w:rsid w:val="00753480"/>
    <w:rsid w:val="00753712"/>
    <w:rsid w:val="007538D9"/>
    <w:rsid w:val="007539EA"/>
    <w:rsid w:val="00753BE1"/>
    <w:rsid w:val="00753DC0"/>
    <w:rsid w:val="00753E5A"/>
    <w:rsid w:val="00754071"/>
    <w:rsid w:val="00754359"/>
    <w:rsid w:val="00754411"/>
    <w:rsid w:val="0075472D"/>
    <w:rsid w:val="0075478A"/>
    <w:rsid w:val="00754BD9"/>
    <w:rsid w:val="00754E7A"/>
    <w:rsid w:val="0075540C"/>
    <w:rsid w:val="00755554"/>
    <w:rsid w:val="0075597F"/>
    <w:rsid w:val="00755DB1"/>
    <w:rsid w:val="00756531"/>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338"/>
    <w:rsid w:val="0076681D"/>
    <w:rsid w:val="00766A65"/>
    <w:rsid w:val="00766CCD"/>
    <w:rsid w:val="00766D3D"/>
    <w:rsid w:val="00766DF6"/>
    <w:rsid w:val="007671F5"/>
    <w:rsid w:val="00767373"/>
    <w:rsid w:val="007676B8"/>
    <w:rsid w:val="00767E4D"/>
    <w:rsid w:val="00770525"/>
    <w:rsid w:val="00770B05"/>
    <w:rsid w:val="00770C63"/>
    <w:rsid w:val="00770E2E"/>
    <w:rsid w:val="007713AD"/>
    <w:rsid w:val="007714D4"/>
    <w:rsid w:val="0077175C"/>
    <w:rsid w:val="007717E7"/>
    <w:rsid w:val="00771870"/>
    <w:rsid w:val="00771BF9"/>
    <w:rsid w:val="00771C01"/>
    <w:rsid w:val="00771D3B"/>
    <w:rsid w:val="007720FB"/>
    <w:rsid w:val="007722B4"/>
    <w:rsid w:val="007724DA"/>
    <w:rsid w:val="0077282B"/>
    <w:rsid w:val="007729B2"/>
    <w:rsid w:val="00772A1E"/>
    <w:rsid w:val="00772AB7"/>
    <w:rsid w:val="00772CA8"/>
    <w:rsid w:val="00772F8A"/>
    <w:rsid w:val="00773021"/>
    <w:rsid w:val="00773186"/>
    <w:rsid w:val="00773284"/>
    <w:rsid w:val="00773324"/>
    <w:rsid w:val="00773616"/>
    <w:rsid w:val="0077362D"/>
    <w:rsid w:val="00773631"/>
    <w:rsid w:val="007739C6"/>
    <w:rsid w:val="00774324"/>
    <w:rsid w:val="00774443"/>
    <w:rsid w:val="007747DE"/>
    <w:rsid w:val="00774889"/>
    <w:rsid w:val="00774AD9"/>
    <w:rsid w:val="00774B91"/>
    <w:rsid w:val="00774F69"/>
    <w:rsid w:val="00774FF5"/>
    <w:rsid w:val="007750B3"/>
    <w:rsid w:val="00775966"/>
    <w:rsid w:val="00775F76"/>
    <w:rsid w:val="00775FE3"/>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A91"/>
    <w:rsid w:val="00781C64"/>
    <w:rsid w:val="007820FA"/>
    <w:rsid w:val="007820FE"/>
    <w:rsid w:val="00782315"/>
    <w:rsid w:val="00782412"/>
    <w:rsid w:val="0078285F"/>
    <w:rsid w:val="00782C52"/>
    <w:rsid w:val="00782F0F"/>
    <w:rsid w:val="0078305C"/>
    <w:rsid w:val="00783207"/>
    <w:rsid w:val="00783210"/>
    <w:rsid w:val="00783770"/>
    <w:rsid w:val="007839FC"/>
    <w:rsid w:val="00783E02"/>
    <w:rsid w:val="00783E1D"/>
    <w:rsid w:val="00783F52"/>
    <w:rsid w:val="00784271"/>
    <w:rsid w:val="0078471F"/>
    <w:rsid w:val="0078483B"/>
    <w:rsid w:val="0078488E"/>
    <w:rsid w:val="00784BF9"/>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0BC"/>
    <w:rsid w:val="00787C67"/>
    <w:rsid w:val="00787E70"/>
    <w:rsid w:val="00787E7B"/>
    <w:rsid w:val="00787EDF"/>
    <w:rsid w:val="0079071D"/>
    <w:rsid w:val="00790C65"/>
    <w:rsid w:val="0079121E"/>
    <w:rsid w:val="007915F7"/>
    <w:rsid w:val="0079162F"/>
    <w:rsid w:val="00791FFF"/>
    <w:rsid w:val="00792958"/>
    <w:rsid w:val="00792EBB"/>
    <w:rsid w:val="007930B2"/>
    <w:rsid w:val="007931C7"/>
    <w:rsid w:val="00793A63"/>
    <w:rsid w:val="00793F5F"/>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E"/>
    <w:rsid w:val="007A074B"/>
    <w:rsid w:val="007A0BC2"/>
    <w:rsid w:val="007A0D31"/>
    <w:rsid w:val="007A106F"/>
    <w:rsid w:val="007A1281"/>
    <w:rsid w:val="007A1D8B"/>
    <w:rsid w:val="007A1F44"/>
    <w:rsid w:val="007A1F63"/>
    <w:rsid w:val="007A23FF"/>
    <w:rsid w:val="007A25F2"/>
    <w:rsid w:val="007A295B"/>
    <w:rsid w:val="007A3259"/>
    <w:rsid w:val="007A325F"/>
    <w:rsid w:val="007A33F0"/>
    <w:rsid w:val="007A3424"/>
    <w:rsid w:val="007A35EF"/>
    <w:rsid w:val="007A3CAC"/>
    <w:rsid w:val="007A4039"/>
    <w:rsid w:val="007A437A"/>
    <w:rsid w:val="007A43A2"/>
    <w:rsid w:val="007A4865"/>
    <w:rsid w:val="007A4B84"/>
    <w:rsid w:val="007A4CD8"/>
    <w:rsid w:val="007A4D04"/>
    <w:rsid w:val="007A50F1"/>
    <w:rsid w:val="007A521E"/>
    <w:rsid w:val="007A534A"/>
    <w:rsid w:val="007A5BE0"/>
    <w:rsid w:val="007A6596"/>
    <w:rsid w:val="007A6EC8"/>
    <w:rsid w:val="007A72CA"/>
    <w:rsid w:val="007A7372"/>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0BE"/>
    <w:rsid w:val="007B224B"/>
    <w:rsid w:val="007B25F5"/>
    <w:rsid w:val="007B26BA"/>
    <w:rsid w:val="007B270A"/>
    <w:rsid w:val="007B27A9"/>
    <w:rsid w:val="007B2A47"/>
    <w:rsid w:val="007B2D3B"/>
    <w:rsid w:val="007B3063"/>
    <w:rsid w:val="007B3CB9"/>
    <w:rsid w:val="007B403F"/>
    <w:rsid w:val="007B4191"/>
    <w:rsid w:val="007B48C4"/>
    <w:rsid w:val="007B4A92"/>
    <w:rsid w:val="007B4B7D"/>
    <w:rsid w:val="007B4E14"/>
    <w:rsid w:val="007B52CD"/>
    <w:rsid w:val="007B57B7"/>
    <w:rsid w:val="007B5C27"/>
    <w:rsid w:val="007B5F81"/>
    <w:rsid w:val="007B629D"/>
    <w:rsid w:val="007B7188"/>
    <w:rsid w:val="007B74D3"/>
    <w:rsid w:val="007B7529"/>
    <w:rsid w:val="007B7605"/>
    <w:rsid w:val="007B7671"/>
    <w:rsid w:val="007B76BF"/>
    <w:rsid w:val="007B78F8"/>
    <w:rsid w:val="007B7CCD"/>
    <w:rsid w:val="007B7DC1"/>
    <w:rsid w:val="007B7EDB"/>
    <w:rsid w:val="007C019C"/>
    <w:rsid w:val="007C0AB2"/>
    <w:rsid w:val="007C0F16"/>
    <w:rsid w:val="007C1052"/>
    <w:rsid w:val="007C114F"/>
    <w:rsid w:val="007C12EC"/>
    <w:rsid w:val="007C131F"/>
    <w:rsid w:val="007C19AD"/>
    <w:rsid w:val="007C21E2"/>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0D5"/>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CC6"/>
    <w:rsid w:val="007D4D33"/>
    <w:rsid w:val="007D4EA3"/>
    <w:rsid w:val="007D53CA"/>
    <w:rsid w:val="007D5573"/>
    <w:rsid w:val="007D5C3C"/>
    <w:rsid w:val="007D6F49"/>
    <w:rsid w:val="007D6FB8"/>
    <w:rsid w:val="007D7175"/>
    <w:rsid w:val="007D71F5"/>
    <w:rsid w:val="007D76F0"/>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A61"/>
    <w:rsid w:val="007E3BF8"/>
    <w:rsid w:val="007E3F3B"/>
    <w:rsid w:val="007E43F9"/>
    <w:rsid w:val="007E4C88"/>
    <w:rsid w:val="007E4CDE"/>
    <w:rsid w:val="007E5509"/>
    <w:rsid w:val="007E585E"/>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6F2"/>
    <w:rsid w:val="007F0720"/>
    <w:rsid w:val="007F0893"/>
    <w:rsid w:val="007F11C8"/>
    <w:rsid w:val="007F135A"/>
    <w:rsid w:val="007F18FA"/>
    <w:rsid w:val="007F1C36"/>
    <w:rsid w:val="007F1CFB"/>
    <w:rsid w:val="007F220B"/>
    <w:rsid w:val="007F2429"/>
    <w:rsid w:val="007F24CF"/>
    <w:rsid w:val="007F27DD"/>
    <w:rsid w:val="007F2CB7"/>
    <w:rsid w:val="007F2CF7"/>
    <w:rsid w:val="007F327C"/>
    <w:rsid w:val="007F32E9"/>
    <w:rsid w:val="007F33EB"/>
    <w:rsid w:val="007F3F14"/>
    <w:rsid w:val="007F3F7E"/>
    <w:rsid w:val="007F424F"/>
    <w:rsid w:val="007F4D20"/>
    <w:rsid w:val="007F5799"/>
    <w:rsid w:val="007F5A94"/>
    <w:rsid w:val="007F5ADC"/>
    <w:rsid w:val="007F6035"/>
    <w:rsid w:val="007F6183"/>
    <w:rsid w:val="007F64A1"/>
    <w:rsid w:val="007F64ED"/>
    <w:rsid w:val="007F6880"/>
    <w:rsid w:val="007F68EB"/>
    <w:rsid w:val="007F6E02"/>
    <w:rsid w:val="007F76B4"/>
    <w:rsid w:val="007F7C66"/>
    <w:rsid w:val="007F7CFD"/>
    <w:rsid w:val="008001B4"/>
    <w:rsid w:val="00800269"/>
    <w:rsid w:val="00800769"/>
    <w:rsid w:val="00800B81"/>
    <w:rsid w:val="00800C09"/>
    <w:rsid w:val="00800ED2"/>
    <w:rsid w:val="008012C2"/>
    <w:rsid w:val="0080153D"/>
    <w:rsid w:val="008018CE"/>
    <w:rsid w:val="00801A3F"/>
    <w:rsid w:val="00802120"/>
    <w:rsid w:val="008024ED"/>
    <w:rsid w:val="00802BF4"/>
    <w:rsid w:val="00802C92"/>
    <w:rsid w:val="00802E74"/>
    <w:rsid w:val="0080346F"/>
    <w:rsid w:val="0080385B"/>
    <w:rsid w:val="008047FA"/>
    <w:rsid w:val="008049C4"/>
    <w:rsid w:val="00804AB7"/>
    <w:rsid w:val="00804B92"/>
    <w:rsid w:val="00804D77"/>
    <w:rsid w:val="00804E21"/>
    <w:rsid w:val="00805092"/>
    <w:rsid w:val="008057CA"/>
    <w:rsid w:val="00805BFE"/>
    <w:rsid w:val="00805D44"/>
    <w:rsid w:val="00806AAF"/>
    <w:rsid w:val="008070AC"/>
    <w:rsid w:val="00807321"/>
    <w:rsid w:val="008078BF"/>
    <w:rsid w:val="00807928"/>
    <w:rsid w:val="00810121"/>
    <w:rsid w:val="008101FD"/>
    <w:rsid w:val="00810702"/>
    <w:rsid w:val="00810802"/>
    <w:rsid w:val="00810AB5"/>
    <w:rsid w:val="00810D8D"/>
    <w:rsid w:val="00810F1F"/>
    <w:rsid w:val="00811250"/>
    <w:rsid w:val="008112B2"/>
    <w:rsid w:val="00811457"/>
    <w:rsid w:val="008114D8"/>
    <w:rsid w:val="00811835"/>
    <w:rsid w:val="00811E3E"/>
    <w:rsid w:val="00812B8F"/>
    <w:rsid w:val="00812C68"/>
    <w:rsid w:val="008130CA"/>
    <w:rsid w:val="00813451"/>
    <w:rsid w:val="00813633"/>
    <w:rsid w:val="008139EC"/>
    <w:rsid w:val="00813FFB"/>
    <w:rsid w:val="008141CC"/>
    <w:rsid w:val="00814219"/>
    <w:rsid w:val="008146F7"/>
    <w:rsid w:val="00814804"/>
    <w:rsid w:val="008148DC"/>
    <w:rsid w:val="00814905"/>
    <w:rsid w:val="008153EA"/>
    <w:rsid w:val="008155F4"/>
    <w:rsid w:val="00815639"/>
    <w:rsid w:val="00815699"/>
    <w:rsid w:val="0081581D"/>
    <w:rsid w:val="00815CF4"/>
    <w:rsid w:val="00815D9B"/>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EB9"/>
    <w:rsid w:val="00821F8A"/>
    <w:rsid w:val="008221B3"/>
    <w:rsid w:val="00822342"/>
    <w:rsid w:val="0082248E"/>
    <w:rsid w:val="00822583"/>
    <w:rsid w:val="00822633"/>
    <w:rsid w:val="00822F5D"/>
    <w:rsid w:val="0082300A"/>
    <w:rsid w:val="0082332A"/>
    <w:rsid w:val="00823422"/>
    <w:rsid w:val="0082362F"/>
    <w:rsid w:val="00823927"/>
    <w:rsid w:val="008239E2"/>
    <w:rsid w:val="00823AF5"/>
    <w:rsid w:val="00823FD5"/>
    <w:rsid w:val="008243A4"/>
    <w:rsid w:val="00824CA6"/>
    <w:rsid w:val="00824F5B"/>
    <w:rsid w:val="00824FDF"/>
    <w:rsid w:val="00825125"/>
    <w:rsid w:val="0082535A"/>
    <w:rsid w:val="008253CE"/>
    <w:rsid w:val="008257CC"/>
    <w:rsid w:val="008258BE"/>
    <w:rsid w:val="00825A98"/>
    <w:rsid w:val="00825C80"/>
    <w:rsid w:val="00826ADF"/>
    <w:rsid w:val="00826B2D"/>
    <w:rsid w:val="008274BF"/>
    <w:rsid w:val="0082768B"/>
    <w:rsid w:val="00827746"/>
    <w:rsid w:val="008278A3"/>
    <w:rsid w:val="00827C42"/>
    <w:rsid w:val="00830060"/>
    <w:rsid w:val="0083027A"/>
    <w:rsid w:val="00830686"/>
    <w:rsid w:val="00830DC3"/>
    <w:rsid w:val="0083113F"/>
    <w:rsid w:val="00831555"/>
    <w:rsid w:val="00831F52"/>
    <w:rsid w:val="00832154"/>
    <w:rsid w:val="008321D3"/>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576A"/>
    <w:rsid w:val="008359E0"/>
    <w:rsid w:val="00835B86"/>
    <w:rsid w:val="008360A8"/>
    <w:rsid w:val="00836408"/>
    <w:rsid w:val="008365CD"/>
    <w:rsid w:val="008367ED"/>
    <w:rsid w:val="00836DDF"/>
    <w:rsid w:val="00837228"/>
    <w:rsid w:val="008376F6"/>
    <w:rsid w:val="008378D5"/>
    <w:rsid w:val="00837D5B"/>
    <w:rsid w:val="00837EE1"/>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B77"/>
    <w:rsid w:val="0084309F"/>
    <w:rsid w:val="00843140"/>
    <w:rsid w:val="00843D04"/>
    <w:rsid w:val="008440E3"/>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CB9"/>
    <w:rsid w:val="00850DE7"/>
    <w:rsid w:val="008510D9"/>
    <w:rsid w:val="00851C1D"/>
    <w:rsid w:val="008524D2"/>
    <w:rsid w:val="00852B50"/>
    <w:rsid w:val="00852BC0"/>
    <w:rsid w:val="00852E19"/>
    <w:rsid w:val="008532B1"/>
    <w:rsid w:val="00853425"/>
    <w:rsid w:val="00853770"/>
    <w:rsid w:val="00853822"/>
    <w:rsid w:val="00853C35"/>
    <w:rsid w:val="008544F1"/>
    <w:rsid w:val="00854A7C"/>
    <w:rsid w:val="00854B74"/>
    <w:rsid w:val="008552FE"/>
    <w:rsid w:val="00855776"/>
    <w:rsid w:val="008557A4"/>
    <w:rsid w:val="008558EC"/>
    <w:rsid w:val="00855936"/>
    <w:rsid w:val="00855CCE"/>
    <w:rsid w:val="00856142"/>
    <w:rsid w:val="0085627F"/>
    <w:rsid w:val="0085677F"/>
    <w:rsid w:val="00856833"/>
    <w:rsid w:val="00856840"/>
    <w:rsid w:val="00856992"/>
    <w:rsid w:val="00856A54"/>
    <w:rsid w:val="008576B7"/>
    <w:rsid w:val="00857817"/>
    <w:rsid w:val="008579F1"/>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FFE"/>
    <w:rsid w:val="008620A0"/>
    <w:rsid w:val="008626B4"/>
    <w:rsid w:val="0086275E"/>
    <w:rsid w:val="0086297F"/>
    <w:rsid w:val="00862FDF"/>
    <w:rsid w:val="00863016"/>
    <w:rsid w:val="00863087"/>
    <w:rsid w:val="0086325E"/>
    <w:rsid w:val="00863896"/>
    <w:rsid w:val="00863A92"/>
    <w:rsid w:val="00863C7F"/>
    <w:rsid w:val="00863E53"/>
    <w:rsid w:val="00864440"/>
    <w:rsid w:val="00864D76"/>
    <w:rsid w:val="00864ED9"/>
    <w:rsid w:val="00864F3B"/>
    <w:rsid w:val="00864FCC"/>
    <w:rsid w:val="008650FC"/>
    <w:rsid w:val="008652DB"/>
    <w:rsid w:val="008658EA"/>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5226"/>
    <w:rsid w:val="008753E3"/>
    <w:rsid w:val="008756A4"/>
    <w:rsid w:val="0087593D"/>
    <w:rsid w:val="00875F73"/>
    <w:rsid w:val="008763C2"/>
    <w:rsid w:val="00876981"/>
    <w:rsid w:val="00876AED"/>
    <w:rsid w:val="00876EB1"/>
    <w:rsid w:val="00876F3F"/>
    <w:rsid w:val="00877367"/>
    <w:rsid w:val="00877A38"/>
    <w:rsid w:val="008804AB"/>
    <w:rsid w:val="00880779"/>
    <w:rsid w:val="00880990"/>
    <w:rsid w:val="00880C50"/>
    <w:rsid w:val="00880F30"/>
    <w:rsid w:val="008811B9"/>
    <w:rsid w:val="0088131F"/>
    <w:rsid w:val="008813CB"/>
    <w:rsid w:val="0088142D"/>
    <w:rsid w:val="008814DD"/>
    <w:rsid w:val="008819E0"/>
    <w:rsid w:val="00881A15"/>
    <w:rsid w:val="00881ABC"/>
    <w:rsid w:val="00881EF2"/>
    <w:rsid w:val="0088213A"/>
    <w:rsid w:val="0088214C"/>
    <w:rsid w:val="008821F2"/>
    <w:rsid w:val="00882C40"/>
    <w:rsid w:val="00882C78"/>
    <w:rsid w:val="00882C86"/>
    <w:rsid w:val="00882FAE"/>
    <w:rsid w:val="00882FF6"/>
    <w:rsid w:val="008833E8"/>
    <w:rsid w:val="008839F1"/>
    <w:rsid w:val="00883DEB"/>
    <w:rsid w:val="00883E2E"/>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10BF"/>
    <w:rsid w:val="00891359"/>
    <w:rsid w:val="0089176E"/>
    <w:rsid w:val="008917E0"/>
    <w:rsid w:val="00891CD8"/>
    <w:rsid w:val="00892051"/>
    <w:rsid w:val="00892365"/>
    <w:rsid w:val="008923AC"/>
    <w:rsid w:val="00892404"/>
    <w:rsid w:val="0089299E"/>
    <w:rsid w:val="00892BE5"/>
    <w:rsid w:val="00892D9A"/>
    <w:rsid w:val="008931B3"/>
    <w:rsid w:val="0089344E"/>
    <w:rsid w:val="00893653"/>
    <w:rsid w:val="0089387C"/>
    <w:rsid w:val="00893B05"/>
    <w:rsid w:val="00893B4B"/>
    <w:rsid w:val="00893D5A"/>
    <w:rsid w:val="008940F2"/>
    <w:rsid w:val="0089411D"/>
    <w:rsid w:val="00894208"/>
    <w:rsid w:val="0089444E"/>
    <w:rsid w:val="008948E1"/>
    <w:rsid w:val="00894909"/>
    <w:rsid w:val="008949DF"/>
    <w:rsid w:val="008951DB"/>
    <w:rsid w:val="00895362"/>
    <w:rsid w:val="0089556A"/>
    <w:rsid w:val="008955A7"/>
    <w:rsid w:val="00895835"/>
    <w:rsid w:val="008960DC"/>
    <w:rsid w:val="008962C2"/>
    <w:rsid w:val="00896387"/>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D73"/>
    <w:rsid w:val="008C1F26"/>
    <w:rsid w:val="008C21D6"/>
    <w:rsid w:val="008C262C"/>
    <w:rsid w:val="008C2770"/>
    <w:rsid w:val="008C2A3A"/>
    <w:rsid w:val="008C2CD6"/>
    <w:rsid w:val="008C2E42"/>
    <w:rsid w:val="008C2FD9"/>
    <w:rsid w:val="008C32D9"/>
    <w:rsid w:val="008C3545"/>
    <w:rsid w:val="008C390A"/>
    <w:rsid w:val="008C3ED3"/>
    <w:rsid w:val="008C43FD"/>
    <w:rsid w:val="008C44F6"/>
    <w:rsid w:val="008C46E3"/>
    <w:rsid w:val="008C4A76"/>
    <w:rsid w:val="008C4C7E"/>
    <w:rsid w:val="008C4F9C"/>
    <w:rsid w:val="008C5219"/>
    <w:rsid w:val="008C532D"/>
    <w:rsid w:val="008C5533"/>
    <w:rsid w:val="008C5C46"/>
    <w:rsid w:val="008C6184"/>
    <w:rsid w:val="008C6398"/>
    <w:rsid w:val="008C6818"/>
    <w:rsid w:val="008C6840"/>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633"/>
    <w:rsid w:val="008E2A57"/>
    <w:rsid w:val="008E2F6E"/>
    <w:rsid w:val="008E3154"/>
    <w:rsid w:val="008E3565"/>
    <w:rsid w:val="008E38AD"/>
    <w:rsid w:val="008E38F4"/>
    <w:rsid w:val="008E3AA0"/>
    <w:rsid w:val="008E3EEC"/>
    <w:rsid w:val="008E4353"/>
    <w:rsid w:val="008E43A2"/>
    <w:rsid w:val="008E4B6C"/>
    <w:rsid w:val="008E5453"/>
    <w:rsid w:val="008E54BD"/>
    <w:rsid w:val="008E56F9"/>
    <w:rsid w:val="008E572D"/>
    <w:rsid w:val="008E580B"/>
    <w:rsid w:val="008E5BF2"/>
    <w:rsid w:val="008E5C81"/>
    <w:rsid w:val="008E5F7F"/>
    <w:rsid w:val="008E5FEB"/>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CB0"/>
    <w:rsid w:val="008F3E6E"/>
    <w:rsid w:val="008F403D"/>
    <w:rsid w:val="008F4819"/>
    <w:rsid w:val="008F48C2"/>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5E3"/>
    <w:rsid w:val="008F7823"/>
    <w:rsid w:val="008F7E2C"/>
    <w:rsid w:val="008F7E32"/>
    <w:rsid w:val="0090035D"/>
    <w:rsid w:val="00900430"/>
    <w:rsid w:val="0090048A"/>
    <w:rsid w:val="00900515"/>
    <w:rsid w:val="00900935"/>
    <w:rsid w:val="00900A90"/>
    <w:rsid w:val="00900B11"/>
    <w:rsid w:val="00900C1F"/>
    <w:rsid w:val="00900D22"/>
    <w:rsid w:val="00900FCA"/>
    <w:rsid w:val="009016D1"/>
    <w:rsid w:val="00901842"/>
    <w:rsid w:val="00901939"/>
    <w:rsid w:val="00901BA1"/>
    <w:rsid w:val="00902103"/>
    <w:rsid w:val="00902E87"/>
    <w:rsid w:val="00903379"/>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757"/>
    <w:rsid w:val="009159B3"/>
    <w:rsid w:val="00916181"/>
    <w:rsid w:val="00916443"/>
    <w:rsid w:val="00916ABD"/>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4D8"/>
    <w:rsid w:val="00923608"/>
    <w:rsid w:val="00923682"/>
    <w:rsid w:val="009237C6"/>
    <w:rsid w:val="009238E5"/>
    <w:rsid w:val="00923F12"/>
    <w:rsid w:val="00924379"/>
    <w:rsid w:val="009243DC"/>
    <w:rsid w:val="00924471"/>
    <w:rsid w:val="009244F7"/>
    <w:rsid w:val="009247FD"/>
    <w:rsid w:val="00924A48"/>
    <w:rsid w:val="00924BE8"/>
    <w:rsid w:val="00924FF8"/>
    <w:rsid w:val="00925047"/>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AA"/>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D98"/>
    <w:rsid w:val="00936E15"/>
    <w:rsid w:val="00937108"/>
    <w:rsid w:val="00937636"/>
    <w:rsid w:val="009376FC"/>
    <w:rsid w:val="00937888"/>
    <w:rsid w:val="00937B26"/>
    <w:rsid w:val="00937D74"/>
    <w:rsid w:val="00940354"/>
    <w:rsid w:val="009406B0"/>
    <w:rsid w:val="00940A39"/>
    <w:rsid w:val="00941521"/>
    <w:rsid w:val="00941538"/>
    <w:rsid w:val="00941784"/>
    <w:rsid w:val="00941890"/>
    <w:rsid w:val="00941AE3"/>
    <w:rsid w:val="00941FD6"/>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6B3"/>
    <w:rsid w:val="00950A93"/>
    <w:rsid w:val="00950BA7"/>
    <w:rsid w:val="00950CA4"/>
    <w:rsid w:val="00950D98"/>
    <w:rsid w:val="00950EA0"/>
    <w:rsid w:val="00951014"/>
    <w:rsid w:val="0095123C"/>
    <w:rsid w:val="009515D3"/>
    <w:rsid w:val="0095183C"/>
    <w:rsid w:val="00951ADB"/>
    <w:rsid w:val="00951D80"/>
    <w:rsid w:val="00952156"/>
    <w:rsid w:val="009529A4"/>
    <w:rsid w:val="009529D6"/>
    <w:rsid w:val="00952BB1"/>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42F"/>
    <w:rsid w:val="009635D7"/>
    <w:rsid w:val="00963BD5"/>
    <w:rsid w:val="00964431"/>
    <w:rsid w:val="009646DD"/>
    <w:rsid w:val="00964DB8"/>
    <w:rsid w:val="00964E17"/>
    <w:rsid w:val="00964F33"/>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18A"/>
    <w:rsid w:val="009761EA"/>
    <w:rsid w:val="00976204"/>
    <w:rsid w:val="009766D3"/>
    <w:rsid w:val="0097693D"/>
    <w:rsid w:val="00976EE5"/>
    <w:rsid w:val="00977B4D"/>
    <w:rsid w:val="00977BA7"/>
    <w:rsid w:val="00977DB1"/>
    <w:rsid w:val="00977F77"/>
    <w:rsid w:val="0098033B"/>
    <w:rsid w:val="00980442"/>
    <w:rsid w:val="00980517"/>
    <w:rsid w:val="0098061A"/>
    <w:rsid w:val="00980B0C"/>
    <w:rsid w:val="00980CAB"/>
    <w:rsid w:val="00980D00"/>
    <w:rsid w:val="00980D0C"/>
    <w:rsid w:val="00981257"/>
    <w:rsid w:val="0098194F"/>
    <w:rsid w:val="009821FF"/>
    <w:rsid w:val="0098223F"/>
    <w:rsid w:val="009826BB"/>
    <w:rsid w:val="009826C8"/>
    <w:rsid w:val="0098328A"/>
    <w:rsid w:val="009832CB"/>
    <w:rsid w:val="00983658"/>
    <w:rsid w:val="0098369F"/>
    <w:rsid w:val="009836B6"/>
    <w:rsid w:val="009836E4"/>
    <w:rsid w:val="00983AB4"/>
    <w:rsid w:val="00983AC0"/>
    <w:rsid w:val="0098412F"/>
    <w:rsid w:val="00984259"/>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464"/>
    <w:rsid w:val="0099083F"/>
    <w:rsid w:val="00990883"/>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33E"/>
    <w:rsid w:val="009943DC"/>
    <w:rsid w:val="00994871"/>
    <w:rsid w:val="00994E08"/>
    <w:rsid w:val="009951F9"/>
    <w:rsid w:val="0099542E"/>
    <w:rsid w:val="00995984"/>
    <w:rsid w:val="00995BFC"/>
    <w:rsid w:val="00995C95"/>
    <w:rsid w:val="00995E85"/>
    <w:rsid w:val="0099607F"/>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AA"/>
    <w:rsid w:val="009A5358"/>
    <w:rsid w:val="009A559E"/>
    <w:rsid w:val="009A5CF2"/>
    <w:rsid w:val="009A60DB"/>
    <w:rsid w:val="009A610C"/>
    <w:rsid w:val="009A61E7"/>
    <w:rsid w:val="009A6253"/>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564"/>
    <w:rsid w:val="009C063B"/>
    <w:rsid w:val="009C09AA"/>
    <w:rsid w:val="009C0B5B"/>
    <w:rsid w:val="009C0C7A"/>
    <w:rsid w:val="009C0E10"/>
    <w:rsid w:val="009C0EBA"/>
    <w:rsid w:val="009C15C7"/>
    <w:rsid w:val="009C1EBB"/>
    <w:rsid w:val="009C226C"/>
    <w:rsid w:val="009C239C"/>
    <w:rsid w:val="009C2685"/>
    <w:rsid w:val="009C2815"/>
    <w:rsid w:val="009C32BE"/>
    <w:rsid w:val="009C39BC"/>
    <w:rsid w:val="009C3C85"/>
    <w:rsid w:val="009C3D07"/>
    <w:rsid w:val="009C4114"/>
    <w:rsid w:val="009C438A"/>
    <w:rsid w:val="009C47F4"/>
    <w:rsid w:val="009C4AB9"/>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E5"/>
    <w:rsid w:val="009D3356"/>
    <w:rsid w:val="009D374C"/>
    <w:rsid w:val="009D3767"/>
    <w:rsid w:val="009D38B1"/>
    <w:rsid w:val="009D3C2B"/>
    <w:rsid w:val="009D3E9D"/>
    <w:rsid w:val="009D4980"/>
    <w:rsid w:val="009D51FA"/>
    <w:rsid w:val="009D5276"/>
    <w:rsid w:val="009D5A6F"/>
    <w:rsid w:val="009D5BAB"/>
    <w:rsid w:val="009D6A0A"/>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3C72"/>
    <w:rsid w:val="009F3C74"/>
    <w:rsid w:val="009F3FB5"/>
    <w:rsid w:val="009F47B7"/>
    <w:rsid w:val="009F521F"/>
    <w:rsid w:val="009F553C"/>
    <w:rsid w:val="009F59F8"/>
    <w:rsid w:val="009F5F3E"/>
    <w:rsid w:val="009F6771"/>
    <w:rsid w:val="009F6850"/>
    <w:rsid w:val="009F7292"/>
    <w:rsid w:val="009F7A8E"/>
    <w:rsid w:val="00A001C7"/>
    <w:rsid w:val="00A00275"/>
    <w:rsid w:val="00A0028B"/>
    <w:rsid w:val="00A003C8"/>
    <w:rsid w:val="00A0050D"/>
    <w:rsid w:val="00A005B0"/>
    <w:rsid w:val="00A00BC5"/>
    <w:rsid w:val="00A00C5E"/>
    <w:rsid w:val="00A00CF1"/>
    <w:rsid w:val="00A00FDD"/>
    <w:rsid w:val="00A011A9"/>
    <w:rsid w:val="00A011FB"/>
    <w:rsid w:val="00A01302"/>
    <w:rsid w:val="00A01F17"/>
    <w:rsid w:val="00A01FF2"/>
    <w:rsid w:val="00A0208C"/>
    <w:rsid w:val="00A022A5"/>
    <w:rsid w:val="00A027A0"/>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3CB"/>
    <w:rsid w:val="00A145FE"/>
    <w:rsid w:val="00A14659"/>
    <w:rsid w:val="00A14813"/>
    <w:rsid w:val="00A1538B"/>
    <w:rsid w:val="00A1566A"/>
    <w:rsid w:val="00A156E8"/>
    <w:rsid w:val="00A157C9"/>
    <w:rsid w:val="00A15817"/>
    <w:rsid w:val="00A1584E"/>
    <w:rsid w:val="00A1599B"/>
    <w:rsid w:val="00A15B89"/>
    <w:rsid w:val="00A15E02"/>
    <w:rsid w:val="00A15F40"/>
    <w:rsid w:val="00A16245"/>
    <w:rsid w:val="00A16289"/>
    <w:rsid w:val="00A16510"/>
    <w:rsid w:val="00A165BF"/>
    <w:rsid w:val="00A16C0A"/>
    <w:rsid w:val="00A172E8"/>
    <w:rsid w:val="00A179FF"/>
    <w:rsid w:val="00A17C57"/>
    <w:rsid w:val="00A20305"/>
    <w:rsid w:val="00A20416"/>
    <w:rsid w:val="00A20744"/>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5D67"/>
    <w:rsid w:val="00A261BD"/>
    <w:rsid w:val="00A26415"/>
    <w:rsid w:val="00A26DC9"/>
    <w:rsid w:val="00A26F01"/>
    <w:rsid w:val="00A27008"/>
    <w:rsid w:val="00A27592"/>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B2"/>
    <w:rsid w:val="00A34E62"/>
    <w:rsid w:val="00A351BC"/>
    <w:rsid w:val="00A351CC"/>
    <w:rsid w:val="00A3573B"/>
    <w:rsid w:val="00A3581B"/>
    <w:rsid w:val="00A358FD"/>
    <w:rsid w:val="00A35B6E"/>
    <w:rsid w:val="00A35BD3"/>
    <w:rsid w:val="00A3611D"/>
    <w:rsid w:val="00A361DD"/>
    <w:rsid w:val="00A36339"/>
    <w:rsid w:val="00A36351"/>
    <w:rsid w:val="00A3651D"/>
    <w:rsid w:val="00A365F1"/>
    <w:rsid w:val="00A366E4"/>
    <w:rsid w:val="00A3670E"/>
    <w:rsid w:val="00A36918"/>
    <w:rsid w:val="00A36DB1"/>
    <w:rsid w:val="00A36DDC"/>
    <w:rsid w:val="00A37182"/>
    <w:rsid w:val="00A3719B"/>
    <w:rsid w:val="00A37228"/>
    <w:rsid w:val="00A40359"/>
    <w:rsid w:val="00A4092F"/>
    <w:rsid w:val="00A40A41"/>
    <w:rsid w:val="00A40C63"/>
    <w:rsid w:val="00A410C0"/>
    <w:rsid w:val="00A4141E"/>
    <w:rsid w:val="00A41850"/>
    <w:rsid w:val="00A4189C"/>
    <w:rsid w:val="00A41D59"/>
    <w:rsid w:val="00A41E9E"/>
    <w:rsid w:val="00A425E1"/>
    <w:rsid w:val="00A42B1C"/>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CDC"/>
    <w:rsid w:val="00A52D79"/>
    <w:rsid w:val="00A539C7"/>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EB"/>
    <w:rsid w:val="00A630A2"/>
    <w:rsid w:val="00A632B8"/>
    <w:rsid w:val="00A63655"/>
    <w:rsid w:val="00A63BEB"/>
    <w:rsid w:val="00A63BF3"/>
    <w:rsid w:val="00A63C52"/>
    <w:rsid w:val="00A644B3"/>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0FE3"/>
    <w:rsid w:val="00A7118F"/>
    <w:rsid w:val="00A71555"/>
    <w:rsid w:val="00A71578"/>
    <w:rsid w:val="00A71CE6"/>
    <w:rsid w:val="00A71D23"/>
    <w:rsid w:val="00A7205D"/>
    <w:rsid w:val="00A72207"/>
    <w:rsid w:val="00A727F4"/>
    <w:rsid w:val="00A7289E"/>
    <w:rsid w:val="00A73009"/>
    <w:rsid w:val="00A731FE"/>
    <w:rsid w:val="00A7333A"/>
    <w:rsid w:val="00A736BD"/>
    <w:rsid w:val="00A73D0D"/>
    <w:rsid w:val="00A73F60"/>
    <w:rsid w:val="00A74719"/>
    <w:rsid w:val="00A747FB"/>
    <w:rsid w:val="00A74A92"/>
    <w:rsid w:val="00A74BEB"/>
    <w:rsid w:val="00A74C0B"/>
    <w:rsid w:val="00A74F34"/>
    <w:rsid w:val="00A7507E"/>
    <w:rsid w:val="00A751CB"/>
    <w:rsid w:val="00A751CC"/>
    <w:rsid w:val="00A75660"/>
    <w:rsid w:val="00A756E7"/>
    <w:rsid w:val="00A757FB"/>
    <w:rsid w:val="00A75A43"/>
    <w:rsid w:val="00A75A88"/>
    <w:rsid w:val="00A75B2F"/>
    <w:rsid w:val="00A75B43"/>
    <w:rsid w:val="00A75CC1"/>
    <w:rsid w:val="00A75E88"/>
    <w:rsid w:val="00A761CA"/>
    <w:rsid w:val="00A761FD"/>
    <w:rsid w:val="00A7640D"/>
    <w:rsid w:val="00A766A8"/>
    <w:rsid w:val="00A77017"/>
    <w:rsid w:val="00A77055"/>
    <w:rsid w:val="00A775FA"/>
    <w:rsid w:val="00A77A5A"/>
    <w:rsid w:val="00A77A68"/>
    <w:rsid w:val="00A77C23"/>
    <w:rsid w:val="00A8013C"/>
    <w:rsid w:val="00A802AC"/>
    <w:rsid w:val="00A8056E"/>
    <w:rsid w:val="00A80602"/>
    <w:rsid w:val="00A8067D"/>
    <w:rsid w:val="00A8094B"/>
    <w:rsid w:val="00A80AEF"/>
    <w:rsid w:val="00A81615"/>
    <w:rsid w:val="00A81844"/>
    <w:rsid w:val="00A81907"/>
    <w:rsid w:val="00A81AE6"/>
    <w:rsid w:val="00A81BF3"/>
    <w:rsid w:val="00A81DB2"/>
    <w:rsid w:val="00A81DC9"/>
    <w:rsid w:val="00A82282"/>
    <w:rsid w:val="00A825CC"/>
    <w:rsid w:val="00A8269B"/>
    <w:rsid w:val="00A827D4"/>
    <w:rsid w:val="00A82A4A"/>
    <w:rsid w:val="00A82AB9"/>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5FE"/>
    <w:rsid w:val="00A86885"/>
    <w:rsid w:val="00A86C4B"/>
    <w:rsid w:val="00A86D43"/>
    <w:rsid w:val="00A86D63"/>
    <w:rsid w:val="00A86FDB"/>
    <w:rsid w:val="00A87000"/>
    <w:rsid w:val="00A870D5"/>
    <w:rsid w:val="00A8732B"/>
    <w:rsid w:val="00A873F0"/>
    <w:rsid w:val="00A87797"/>
    <w:rsid w:val="00A877AE"/>
    <w:rsid w:val="00A87E23"/>
    <w:rsid w:val="00A87E51"/>
    <w:rsid w:val="00A87F46"/>
    <w:rsid w:val="00A90163"/>
    <w:rsid w:val="00A9064A"/>
    <w:rsid w:val="00A90A6A"/>
    <w:rsid w:val="00A90CB5"/>
    <w:rsid w:val="00A90CE3"/>
    <w:rsid w:val="00A90E72"/>
    <w:rsid w:val="00A90EE4"/>
    <w:rsid w:val="00A91403"/>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02"/>
    <w:rsid w:val="00AA6D8E"/>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73"/>
    <w:rsid w:val="00AB226C"/>
    <w:rsid w:val="00AB2685"/>
    <w:rsid w:val="00AB29CF"/>
    <w:rsid w:val="00AB2E81"/>
    <w:rsid w:val="00AB3103"/>
    <w:rsid w:val="00AB3113"/>
    <w:rsid w:val="00AB3317"/>
    <w:rsid w:val="00AB343E"/>
    <w:rsid w:val="00AB348A"/>
    <w:rsid w:val="00AB3819"/>
    <w:rsid w:val="00AB3B49"/>
    <w:rsid w:val="00AB3F38"/>
    <w:rsid w:val="00AB4137"/>
    <w:rsid w:val="00AB43EC"/>
    <w:rsid w:val="00AB4410"/>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39"/>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522E"/>
    <w:rsid w:val="00AD542F"/>
    <w:rsid w:val="00AD5441"/>
    <w:rsid w:val="00AD59AB"/>
    <w:rsid w:val="00AD5B94"/>
    <w:rsid w:val="00AD5D01"/>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589"/>
    <w:rsid w:val="00AE58C5"/>
    <w:rsid w:val="00AE59EC"/>
    <w:rsid w:val="00AE6082"/>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DBB"/>
    <w:rsid w:val="00AF43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F3B"/>
    <w:rsid w:val="00AF7037"/>
    <w:rsid w:val="00AF73C3"/>
    <w:rsid w:val="00AF74B8"/>
    <w:rsid w:val="00AF769A"/>
    <w:rsid w:val="00AF76DF"/>
    <w:rsid w:val="00AF795C"/>
    <w:rsid w:val="00B001FF"/>
    <w:rsid w:val="00B003E8"/>
    <w:rsid w:val="00B00724"/>
    <w:rsid w:val="00B00752"/>
    <w:rsid w:val="00B01D4B"/>
    <w:rsid w:val="00B01DBF"/>
    <w:rsid w:val="00B01DE1"/>
    <w:rsid w:val="00B01E5D"/>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B28"/>
    <w:rsid w:val="00B10CB6"/>
    <w:rsid w:val="00B110C5"/>
    <w:rsid w:val="00B11320"/>
    <w:rsid w:val="00B11923"/>
    <w:rsid w:val="00B119BB"/>
    <w:rsid w:val="00B11F20"/>
    <w:rsid w:val="00B120DD"/>
    <w:rsid w:val="00B12790"/>
    <w:rsid w:val="00B128FC"/>
    <w:rsid w:val="00B129A3"/>
    <w:rsid w:val="00B12B7D"/>
    <w:rsid w:val="00B12CA3"/>
    <w:rsid w:val="00B13111"/>
    <w:rsid w:val="00B13707"/>
    <w:rsid w:val="00B13895"/>
    <w:rsid w:val="00B138C4"/>
    <w:rsid w:val="00B13B9D"/>
    <w:rsid w:val="00B141E1"/>
    <w:rsid w:val="00B156A9"/>
    <w:rsid w:val="00B15701"/>
    <w:rsid w:val="00B15F83"/>
    <w:rsid w:val="00B160FF"/>
    <w:rsid w:val="00B1623A"/>
    <w:rsid w:val="00B16322"/>
    <w:rsid w:val="00B1662E"/>
    <w:rsid w:val="00B1665E"/>
    <w:rsid w:val="00B16A6F"/>
    <w:rsid w:val="00B16D79"/>
    <w:rsid w:val="00B175A1"/>
    <w:rsid w:val="00B17BCE"/>
    <w:rsid w:val="00B20048"/>
    <w:rsid w:val="00B207F7"/>
    <w:rsid w:val="00B20B03"/>
    <w:rsid w:val="00B2121D"/>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4F"/>
    <w:rsid w:val="00B33F0A"/>
    <w:rsid w:val="00B340AA"/>
    <w:rsid w:val="00B3424D"/>
    <w:rsid w:val="00B344AA"/>
    <w:rsid w:val="00B34A9F"/>
    <w:rsid w:val="00B34B80"/>
    <w:rsid w:val="00B34B87"/>
    <w:rsid w:val="00B34EF8"/>
    <w:rsid w:val="00B35302"/>
    <w:rsid w:val="00B354CC"/>
    <w:rsid w:val="00B35CDA"/>
    <w:rsid w:val="00B36115"/>
    <w:rsid w:val="00B3630C"/>
    <w:rsid w:val="00B36A48"/>
    <w:rsid w:val="00B36E15"/>
    <w:rsid w:val="00B36EFB"/>
    <w:rsid w:val="00B36F8D"/>
    <w:rsid w:val="00B37058"/>
    <w:rsid w:val="00B37491"/>
    <w:rsid w:val="00B37ABF"/>
    <w:rsid w:val="00B37CB2"/>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757"/>
    <w:rsid w:val="00B47ACB"/>
    <w:rsid w:val="00B47AF6"/>
    <w:rsid w:val="00B47E53"/>
    <w:rsid w:val="00B47FF0"/>
    <w:rsid w:val="00B5017A"/>
    <w:rsid w:val="00B50742"/>
    <w:rsid w:val="00B509BF"/>
    <w:rsid w:val="00B50F0A"/>
    <w:rsid w:val="00B510D9"/>
    <w:rsid w:val="00B5149E"/>
    <w:rsid w:val="00B51542"/>
    <w:rsid w:val="00B5165C"/>
    <w:rsid w:val="00B51D1D"/>
    <w:rsid w:val="00B51E33"/>
    <w:rsid w:val="00B51EFB"/>
    <w:rsid w:val="00B5229D"/>
    <w:rsid w:val="00B526BB"/>
    <w:rsid w:val="00B5280A"/>
    <w:rsid w:val="00B52A0D"/>
    <w:rsid w:val="00B52F27"/>
    <w:rsid w:val="00B5310E"/>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279"/>
    <w:rsid w:val="00B57416"/>
    <w:rsid w:val="00B57711"/>
    <w:rsid w:val="00B57777"/>
    <w:rsid w:val="00B577D8"/>
    <w:rsid w:val="00B579E9"/>
    <w:rsid w:val="00B57A17"/>
    <w:rsid w:val="00B57B7E"/>
    <w:rsid w:val="00B57CBA"/>
    <w:rsid w:val="00B57E5F"/>
    <w:rsid w:val="00B606B5"/>
    <w:rsid w:val="00B60E74"/>
    <w:rsid w:val="00B60FA3"/>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95A"/>
    <w:rsid w:val="00B659F1"/>
    <w:rsid w:val="00B65BEE"/>
    <w:rsid w:val="00B65CF2"/>
    <w:rsid w:val="00B65E9E"/>
    <w:rsid w:val="00B662EF"/>
    <w:rsid w:val="00B667B5"/>
    <w:rsid w:val="00B67916"/>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31AB"/>
    <w:rsid w:val="00B732E6"/>
    <w:rsid w:val="00B73913"/>
    <w:rsid w:val="00B73980"/>
    <w:rsid w:val="00B73B25"/>
    <w:rsid w:val="00B73E53"/>
    <w:rsid w:val="00B73EF7"/>
    <w:rsid w:val="00B73F3C"/>
    <w:rsid w:val="00B74222"/>
    <w:rsid w:val="00B74540"/>
    <w:rsid w:val="00B74546"/>
    <w:rsid w:val="00B746C6"/>
    <w:rsid w:val="00B74858"/>
    <w:rsid w:val="00B74920"/>
    <w:rsid w:val="00B74AF1"/>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380"/>
    <w:rsid w:val="00B82615"/>
    <w:rsid w:val="00B82816"/>
    <w:rsid w:val="00B82CC8"/>
    <w:rsid w:val="00B82CD7"/>
    <w:rsid w:val="00B8304E"/>
    <w:rsid w:val="00B833E4"/>
    <w:rsid w:val="00B83444"/>
    <w:rsid w:val="00B836ED"/>
    <w:rsid w:val="00B8401A"/>
    <w:rsid w:val="00B853BE"/>
    <w:rsid w:val="00B85655"/>
    <w:rsid w:val="00B8598A"/>
    <w:rsid w:val="00B86033"/>
    <w:rsid w:val="00B86055"/>
    <w:rsid w:val="00B86122"/>
    <w:rsid w:val="00B8617B"/>
    <w:rsid w:val="00B861F8"/>
    <w:rsid w:val="00B86299"/>
    <w:rsid w:val="00B86476"/>
    <w:rsid w:val="00B86A3D"/>
    <w:rsid w:val="00B86BAD"/>
    <w:rsid w:val="00B8724E"/>
    <w:rsid w:val="00B87467"/>
    <w:rsid w:val="00B875C7"/>
    <w:rsid w:val="00B87B85"/>
    <w:rsid w:val="00B87DFC"/>
    <w:rsid w:val="00B87E1F"/>
    <w:rsid w:val="00B87F87"/>
    <w:rsid w:val="00B90691"/>
    <w:rsid w:val="00B909C0"/>
    <w:rsid w:val="00B90A3F"/>
    <w:rsid w:val="00B90B13"/>
    <w:rsid w:val="00B90D10"/>
    <w:rsid w:val="00B90FE5"/>
    <w:rsid w:val="00B912E9"/>
    <w:rsid w:val="00B915CA"/>
    <w:rsid w:val="00B9173B"/>
    <w:rsid w:val="00B91989"/>
    <w:rsid w:val="00B919AD"/>
    <w:rsid w:val="00B91A2B"/>
    <w:rsid w:val="00B91E45"/>
    <w:rsid w:val="00B91EA5"/>
    <w:rsid w:val="00B92797"/>
    <w:rsid w:val="00B929E6"/>
    <w:rsid w:val="00B92BF8"/>
    <w:rsid w:val="00B93204"/>
    <w:rsid w:val="00B93331"/>
    <w:rsid w:val="00B938CE"/>
    <w:rsid w:val="00B94E17"/>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1D03"/>
    <w:rsid w:val="00BA245D"/>
    <w:rsid w:val="00BA2C07"/>
    <w:rsid w:val="00BA2FEF"/>
    <w:rsid w:val="00BA319D"/>
    <w:rsid w:val="00BA36A0"/>
    <w:rsid w:val="00BA380A"/>
    <w:rsid w:val="00BA4056"/>
    <w:rsid w:val="00BA42CC"/>
    <w:rsid w:val="00BA44A2"/>
    <w:rsid w:val="00BA4A53"/>
    <w:rsid w:val="00BA4B85"/>
    <w:rsid w:val="00BA4F2C"/>
    <w:rsid w:val="00BA5893"/>
    <w:rsid w:val="00BA5B9A"/>
    <w:rsid w:val="00BA5D41"/>
    <w:rsid w:val="00BA5D58"/>
    <w:rsid w:val="00BA5E2B"/>
    <w:rsid w:val="00BA6220"/>
    <w:rsid w:val="00BA685F"/>
    <w:rsid w:val="00BA6CFD"/>
    <w:rsid w:val="00BA6D4B"/>
    <w:rsid w:val="00BA6D81"/>
    <w:rsid w:val="00BA72A2"/>
    <w:rsid w:val="00BA7669"/>
    <w:rsid w:val="00BA7770"/>
    <w:rsid w:val="00BB0132"/>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7CE"/>
    <w:rsid w:val="00BB7E7B"/>
    <w:rsid w:val="00BB7F50"/>
    <w:rsid w:val="00BC00B4"/>
    <w:rsid w:val="00BC00EC"/>
    <w:rsid w:val="00BC0185"/>
    <w:rsid w:val="00BC028C"/>
    <w:rsid w:val="00BC08C5"/>
    <w:rsid w:val="00BC0AD8"/>
    <w:rsid w:val="00BC0EF2"/>
    <w:rsid w:val="00BC12FB"/>
    <w:rsid w:val="00BC1AC2"/>
    <w:rsid w:val="00BC1C3C"/>
    <w:rsid w:val="00BC1D45"/>
    <w:rsid w:val="00BC245A"/>
    <w:rsid w:val="00BC2704"/>
    <w:rsid w:val="00BC2A00"/>
    <w:rsid w:val="00BC2FAA"/>
    <w:rsid w:val="00BC302C"/>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0AD"/>
    <w:rsid w:val="00BE13F0"/>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914"/>
    <w:rsid w:val="00BF3BFB"/>
    <w:rsid w:val="00BF3E14"/>
    <w:rsid w:val="00BF3F33"/>
    <w:rsid w:val="00BF4016"/>
    <w:rsid w:val="00BF41E6"/>
    <w:rsid w:val="00BF46E4"/>
    <w:rsid w:val="00BF491C"/>
    <w:rsid w:val="00BF49B1"/>
    <w:rsid w:val="00BF5552"/>
    <w:rsid w:val="00BF5CCB"/>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0D"/>
    <w:rsid w:val="00C01A37"/>
    <w:rsid w:val="00C0217C"/>
    <w:rsid w:val="00C02378"/>
    <w:rsid w:val="00C02419"/>
    <w:rsid w:val="00C025E5"/>
    <w:rsid w:val="00C0263E"/>
    <w:rsid w:val="00C02766"/>
    <w:rsid w:val="00C02D6D"/>
    <w:rsid w:val="00C02E11"/>
    <w:rsid w:val="00C02E37"/>
    <w:rsid w:val="00C02FB5"/>
    <w:rsid w:val="00C03EE8"/>
    <w:rsid w:val="00C0462A"/>
    <w:rsid w:val="00C0478D"/>
    <w:rsid w:val="00C05006"/>
    <w:rsid w:val="00C056ED"/>
    <w:rsid w:val="00C059DA"/>
    <w:rsid w:val="00C05BEC"/>
    <w:rsid w:val="00C05DEE"/>
    <w:rsid w:val="00C05FE3"/>
    <w:rsid w:val="00C06177"/>
    <w:rsid w:val="00C06277"/>
    <w:rsid w:val="00C064E2"/>
    <w:rsid w:val="00C06560"/>
    <w:rsid w:val="00C065BF"/>
    <w:rsid w:val="00C06671"/>
    <w:rsid w:val="00C068D8"/>
    <w:rsid w:val="00C06E7D"/>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374"/>
    <w:rsid w:val="00C16B30"/>
    <w:rsid w:val="00C16C30"/>
    <w:rsid w:val="00C16FB1"/>
    <w:rsid w:val="00C170A3"/>
    <w:rsid w:val="00C1761D"/>
    <w:rsid w:val="00C17C14"/>
    <w:rsid w:val="00C17D7D"/>
    <w:rsid w:val="00C17E83"/>
    <w:rsid w:val="00C2006B"/>
    <w:rsid w:val="00C2009F"/>
    <w:rsid w:val="00C20369"/>
    <w:rsid w:val="00C20729"/>
    <w:rsid w:val="00C20982"/>
    <w:rsid w:val="00C20A00"/>
    <w:rsid w:val="00C20BB3"/>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2A"/>
    <w:rsid w:val="00C25DD9"/>
    <w:rsid w:val="00C2614B"/>
    <w:rsid w:val="00C26317"/>
    <w:rsid w:val="00C26431"/>
    <w:rsid w:val="00C2663F"/>
    <w:rsid w:val="00C26819"/>
    <w:rsid w:val="00C268E4"/>
    <w:rsid w:val="00C26C59"/>
    <w:rsid w:val="00C26DB8"/>
    <w:rsid w:val="00C26E20"/>
    <w:rsid w:val="00C26FA6"/>
    <w:rsid w:val="00C27061"/>
    <w:rsid w:val="00C27833"/>
    <w:rsid w:val="00C27C0D"/>
    <w:rsid w:val="00C27EBF"/>
    <w:rsid w:val="00C27FC7"/>
    <w:rsid w:val="00C30174"/>
    <w:rsid w:val="00C3039B"/>
    <w:rsid w:val="00C30B71"/>
    <w:rsid w:val="00C30C9A"/>
    <w:rsid w:val="00C30F63"/>
    <w:rsid w:val="00C310AE"/>
    <w:rsid w:val="00C318E9"/>
    <w:rsid w:val="00C31E94"/>
    <w:rsid w:val="00C31F12"/>
    <w:rsid w:val="00C321E5"/>
    <w:rsid w:val="00C32324"/>
    <w:rsid w:val="00C323CB"/>
    <w:rsid w:val="00C32546"/>
    <w:rsid w:val="00C32D37"/>
    <w:rsid w:val="00C32E6B"/>
    <w:rsid w:val="00C33092"/>
    <w:rsid w:val="00C33156"/>
    <w:rsid w:val="00C3353B"/>
    <w:rsid w:val="00C33CE0"/>
    <w:rsid w:val="00C3400F"/>
    <w:rsid w:val="00C34163"/>
    <w:rsid w:val="00C3450C"/>
    <w:rsid w:val="00C34712"/>
    <w:rsid w:val="00C3483D"/>
    <w:rsid w:val="00C34B64"/>
    <w:rsid w:val="00C34C36"/>
    <w:rsid w:val="00C352B3"/>
    <w:rsid w:val="00C3569E"/>
    <w:rsid w:val="00C358BC"/>
    <w:rsid w:val="00C35BE3"/>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31"/>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FA"/>
    <w:rsid w:val="00C519F9"/>
    <w:rsid w:val="00C51A35"/>
    <w:rsid w:val="00C52228"/>
    <w:rsid w:val="00C522FC"/>
    <w:rsid w:val="00C52744"/>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CE6"/>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A15"/>
    <w:rsid w:val="00C62CD5"/>
    <w:rsid w:val="00C62E49"/>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6B2"/>
    <w:rsid w:val="00C66D98"/>
    <w:rsid w:val="00C66FD1"/>
    <w:rsid w:val="00C67464"/>
    <w:rsid w:val="00C67817"/>
    <w:rsid w:val="00C67BD1"/>
    <w:rsid w:val="00C67C24"/>
    <w:rsid w:val="00C67DEC"/>
    <w:rsid w:val="00C67EAB"/>
    <w:rsid w:val="00C67EC6"/>
    <w:rsid w:val="00C701CC"/>
    <w:rsid w:val="00C70275"/>
    <w:rsid w:val="00C703D9"/>
    <w:rsid w:val="00C70423"/>
    <w:rsid w:val="00C7067A"/>
    <w:rsid w:val="00C70842"/>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D7"/>
    <w:rsid w:val="00C7426B"/>
    <w:rsid w:val="00C748B7"/>
    <w:rsid w:val="00C74B3A"/>
    <w:rsid w:val="00C75324"/>
    <w:rsid w:val="00C75335"/>
    <w:rsid w:val="00C75A6B"/>
    <w:rsid w:val="00C763B6"/>
    <w:rsid w:val="00C7644F"/>
    <w:rsid w:val="00C767AA"/>
    <w:rsid w:val="00C768F6"/>
    <w:rsid w:val="00C76F38"/>
    <w:rsid w:val="00C772AB"/>
    <w:rsid w:val="00C772DF"/>
    <w:rsid w:val="00C774E8"/>
    <w:rsid w:val="00C7750F"/>
    <w:rsid w:val="00C77546"/>
    <w:rsid w:val="00C77632"/>
    <w:rsid w:val="00C776AA"/>
    <w:rsid w:val="00C77E4E"/>
    <w:rsid w:val="00C8004B"/>
    <w:rsid w:val="00C80073"/>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456F"/>
    <w:rsid w:val="00C848FF"/>
    <w:rsid w:val="00C851D2"/>
    <w:rsid w:val="00C853B2"/>
    <w:rsid w:val="00C857EB"/>
    <w:rsid w:val="00C86365"/>
    <w:rsid w:val="00C8646D"/>
    <w:rsid w:val="00C867E0"/>
    <w:rsid w:val="00C86993"/>
    <w:rsid w:val="00C86CE1"/>
    <w:rsid w:val="00C86ED3"/>
    <w:rsid w:val="00C8779F"/>
    <w:rsid w:val="00C877AB"/>
    <w:rsid w:val="00C902CD"/>
    <w:rsid w:val="00C902E2"/>
    <w:rsid w:val="00C90599"/>
    <w:rsid w:val="00C90660"/>
    <w:rsid w:val="00C9079B"/>
    <w:rsid w:val="00C90904"/>
    <w:rsid w:val="00C90C65"/>
    <w:rsid w:val="00C9130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241"/>
    <w:rsid w:val="00CA2323"/>
    <w:rsid w:val="00CA27C6"/>
    <w:rsid w:val="00CA2859"/>
    <w:rsid w:val="00CA28ED"/>
    <w:rsid w:val="00CA2969"/>
    <w:rsid w:val="00CA2A9F"/>
    <w:rsid w:val="00CA2B46"/>
    <w:rsid w:val="00CA3401"/>
    <w:rsid w:val="00CA3CBC"/>
    <w:rsid w:val="00CA3CDD"/>
    <w:rsid w:val="00CA403B"/>
    <w:rsid w:val="00CA478E"/>
    <w:rsid w:val="00CA4C5A"/>
    <w:rsid w:val="00CA4D5D"/>
    <w:rsid w:val="00CA505A"/>
    <w:rsid w:val="00CA5579"/>
    <w:rsid w:val="00CA5625"/>
    <w:rsid w:val="00CA58AB"/>
    <w:rsid w:val="00CA59DD"/>
    <w:rsid w:val="00CA663F"/>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B05"/>
    <w:rsid w:val="00CB4183"/>
    <w:rsid w:val="00CB45E1"/>
    <w:rsid w:val="00CB48F1"/>
    <w:rsid w:val="00CB4976"/>
    <w:rsid w:val="00CB4CD3"/>
    <w:rsid w:val="00CB4F73"/>
    <w:rsid w:val="00CB59C3"/>
    <w:rsid w:val="00CB5B1E"/>
    <w:rsid w:val="00CB5C2E"/>
    <w:rsid w:val="00CB5D23"/>
    <w:rsid w:val="00CB6189"/>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0FC2"/>
    <w:rsid w:val="00CD11DA"/>
    <w:rsid w:val="00CD1C0B"/>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81D"/>
    <w:rsid w:val="00CD495F"/>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9DE"/>
    <w:rsid w:val="00CE5A78"/>
    <w:rsid w:val="00CE6264"/>
    <w:rsid w:val="00CE6348"/>
    <w:rsid w:val="00CE63B4"/>
    <w:rsid w:val="00CE675A"/>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F0"/>
    <w:rsid w:val="00CF32E0"/>
    <w:rsid w:val="00CF3CF9"/>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DB"/>
    <w:rsid w:val="00D00DA5"/>
    <w:rsid w:val="00D00F5B"/>
    <w:rsid w:val="00D01515"/>
    <w:rsid w:val="00D0166F"/>
    <w:rsid w:val="00D01800"/>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82"/>
    <w:rsid w:val="00D1613E"/>
    <w:rsid w:val="00D16228"/>
    <w:rsid w:val="00D1624B"/>
    <w:rsid w:val="00D16485"/>
    <w:rsid w:val="00D16E87"/>
    <w:rsid w:val="00D17137"/>
    <w:rsid w:val="00D1754B"/>
    <w:rsid w:val="00D178FC"/>
    <w:rsid w:val="00D17AD5"/>
    <w:rsid w:val="00D2005F"/>
    <w:rsid w:val="00D2064C"/>
    <w:rsid w:val="00D20B8B"/>
    <w:rsid w:val="00D20C0F"/>
    <w:rsid w:val="00D2120B"/>
    <w:rsid w:val="00D2129C"/>
    <w:rsid w:val="00D21401"/>
    <w:rsid w:val="00D2156C"/>
    <w:rsid w:val="00D2162C"/>
    <w:rsid w:val="00D21715"/>
    <w:rsid w:val="00D21A3C"/>
    <w:rsid w:val="00D21E63"/>
    <w:rsid w:val="00D21F27"/>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DBB"/>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8DE"/>
    <w:rsid w:val="00D32C87"/>
    <w:rsid w:val="00D32D90"/>
    <w:rsid w:val="00D32E7B"/>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AB7"/>
    <w:rsid w:val="00D45DF3"/>
    <w:rsid w:val="00D4608D"/>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D15"/>
    <w:rsid w:val="00D542FA"/>
    <w:rsid w:val="00D542FD"/>
    <w:rsid w:val="00D5475B"/>
    <w:rsid w:val="00D54850"/>
    <w:rsid w:val="00D54D07"/>
    <w:rsid w:val="00D55007"/>
    <w:rsid w:val="00D55072"/>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C97"/>
    <w:rsid w:val="00D62F1D"/>
    <w:rsid w:val="00D63147"/>
    <w:rsid w:val="00D63411"/>
    <w:rsid w:val="00D63517"/>
    <w:rsid w:val="00D63692"/>
    <w:rsid w:val="00D63750"/>
    <w:rsid w:val="00D63A6F"/>
    <w:rsid w:val="00D63B75"/>
    <w:rsid w:val="00D63F20"/>
    <w:rsid w:val="00D63F53"/>
    <w:rsid w:val="00D64318"/>
    <w:rsid w:val="00D64541"/>
    <w:rsid w:val="00D64787"/>
    <w:rsid w:val="00D64D4A"/>
    <w:rsid w:val="00D65058"/>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137"/>
    <w:rsid w:val="00D804CA"/>
    <w:rsid w:val="00D8055E"/>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A6"/>
    <w:rsid w:val="00D844AB"/>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2AB"/>
    <w:rsid w:val="00D936E2"/>
    <w:rsid w:val="00D93AE5"/>
    <w:rsid w:val="00D93B62"/>
    <w:rsid w:val="00D94217"/>
    <w:rsid w:val="00D9456A"/>
    <w:rsid w:val="00D94652"/>
    <w:rsid w:val="00D95104"/>
    <w:rsid w:val="00D95600"/>
    <w:rsid w:val="00D9584A"/>
    <w:rsid w:val="00D96278"/>
    <w:rsid w:val="00D96319"/>
    <w:rsid w:val="00D96413"/>
    <w:rsid w:val="00D9683C"/>
    <w:rsid w:val="00D96A6E"/>
    <w:rsid w:val="00D96ADA"/>
    <w:rsid w:val="00D96D64"/>
    <w:rsid w:val="00D96EFC"/>
    <w:rsid w:val="00D97015"/>
    <w:rsid w:val="00D97884"/>
    <w:rsid w:val="00D97A7D"/>
    <w:rsid w:val="00D97AC0"/>
    <w:rsid w:val="00DA0248"/>
    <w:rsid w:val="00DA058E"/>
    <w:rsid w:val="00DA0A7F"/>
    <w:rsid w:val="00DA0D68"/>
    <w:rsid w:val="00DA10D8"/>
    <w:rsid w:val="00DA13DA"/>
    <w:rsid w:val="00DA14A7"/>
    <w:rsid w:val="00DA1C31"/>
    <w:rsid w:val="00DA20BC"/>
    <w:rsid w:val="00DA21C6"/>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613E"/>
    <w:rsid w:val="00DA615D"/>
    <w:rsid w:val="00DA6385"/>
    <w:rsid w:val="00DA64E9"/>
    <w:rsid w:val="00DA6596"/>
    <w:rsid w:val="00DA6598"/>
    <w:rsid w:val="00DA6662"/>
    <w:rsid w:val="00DA6C0F"/>
    <w:rsid w:val="00DA6C63"/>
    <w:rsid w:val="00DA6CED"/>
    <w:rsid w:val="00DA702F"/>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B8B"/>
    <w:rsid w:val="00DC5DDC"/>
    <w:rsid w:val="00DC5E0E"/>
    <w:rsid w:val="00DC5F61"/>
    <w:rsid w:val="00DC60A2"/>
    <w:rsid w:val="00DC6600"/>
    <w:rsid w:val="00DC6712"/>
    <w:rsid w:val="00DC67BD"/>
    <w:rsid w:val="00DC688C"/>
    <w:rsid w:val="00DC6924"/>
    <w:rsid w:val="00DC6E1C"/>
    <w:rsid w:val="00DC6E65"/>
    <w:rsid w:val="00DC70CF"/>
    <w:rsid w:val="00DC7189"/>
    <w:rsid w:val="00DC71F2"/>
    <w:rsid w:val="00DC72AE"/>
    <w:rsid w:val="00DC74BB"/>
    <w:rsid w:val="00DC7C65"/>
    <w:rsid w:val="00DD0674"/>
    <w:rsid w:val="00DD0C5B"/>
    <w:rsid w:val="00DD0D21"/>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EB0"/>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249"/>
    <w:rsid w:val="00DE1486"/>
    <w:rsid w:val="00DE15B0"/>
    <w:rsid w:val="00DE16D1"/>
    <w:rsid w:val="00DE1A01"/>
    <w:rsid w:val="00DE1E70"/>
    <w:rsid w:val="00DE1F0B"/>
    <w:rsid w:val="00DE219B"/>
    <w:rsid w:val="00DE2516"/>
    <w:rsid w:val="00DE2A47"/>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1DC"/>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AA"/>
    <w:rsid w:val="00E023E5"/>
    <w:rsid w:val="00E02432"/>
    <w:rsid w:val="00E02683"/>
    <w:rsid w:val="00E02CA0"/>
    <w:rsid w:val="00E0307D"/>
    <w:rsid w:val="00E030F5"/>
    <w:rsid w:val="00E03218"/>
    <w:rsid w:val="00E03AB9"/>
    <w:rsid w:val="00E03B0E"/>
    <w:rsid w:val="00E03C7E"/>
    <w:rsid w:val="00E03D4C"/>
    <w:rsid w:val="00E04022"/>
    <w:rsid w:val="00E040F5"/>
    <w:rsid w:val="00E04140"/>
    <w:rsid w:val="00E04A49"/>
    <w:rsid w:val="00E04C49"/>
    <w:rsid w:val="00E05F0A"/>
    <w:rsid w:val="00E063E7"/>
    <w:rsid w:val="00E06CA3"/>
    <w:rsid w:val="00E0728F"/>
    <w:rsid w:val="00E074AC"/>
    <w:rsid w:val="00E0755C"/>
    <w:rsid w:val="00E07662"/>
    <w:rsid w:val="00E0776C"/>
    <w:rsid w:val="00E07CA1"/>
    <w:rsid w:val="00E10070"/>
    <w:rsid w:val="00E100A8"/>
    <w:rsid w:val="00E10221"/>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106"/>
    <w:rsid w:val="00E1427A"/>
    <w:rsid w:val="00E148B7"/>
    <w:rsid w:val="00E14A7E"/>
    <w:rsid w:val="00E1515A"/>
    <w:rsid w:val="00E1518A"/>
    <w:rsid w:val="00E151E1"/>
    <w:rsid w:val="00E15F2D"/>
    <w:rsid w:val="00E16019"/>
    <w:rsid w:val="00E167F1"/>
    <w:rsid w:val="00E168E3"/>
    <w:rsid w:val="00E16A57"/>
    <w:rsid w:val="00E16B0F"/>
    <w:rsid w:val="00E16D3E"/>
    <w:rsid w:val="00E16F5D"/>
    <w:rsid w:val="00E17166"/>
    <w:rsid w:val="00E17291"/>
    <w:rsid w:val="00E17314"/>
    <w:rsid w:val="00E174D1"/>
    <w:rsid w:val="00E174EB"/>
    <w:rsid w:val="00E17619"/>
    <w:rsid w:val="00E17805"/>
    <w:rsid w:val="00E17BF9"/>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3C7"/>
    <w:rsid w:val="00E21C54"/>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559"/>
    <w:rsid w:val="00E306E8"/>
    <w:rsid w:val="00E308F6"/>
    <w:rsid w:val="00E30941"/>
    <w:rsid w:val="00E30E5A"/>
    <w:rsid w:val="00E30E5F"/>
    <w:rsid w:val="00E314C6"/>
    <w:rsid w:val="00E31775"/>
    <w:rsid w:val="00E317AA"/>
    <w:rsid w:val="00E317F7"/>
    <w:rsid w:val="00E31E41"/>
    <w:rsid w:val="00E3248D"/>
    <w:rsid w:val="00E3286E"/>
    <w:rsid w:val="00E32B12"/>
    <w:rsid w:val="00E32D62"/>
    <w:rsid w:val="00E332FD"/>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E29"/>
    <w:rsid w:val="00E37E9A"/>
    <w:rsid w:val="00E37F8E"/>
    <w:rsid w:val="00E40241"/>
    <w:rsid w:val="00E40444"/>
    <w:rsid w:val="00E4050E"/>
    <w:rsid w:val="00E40906"/>
    <w:rsid w:val="00E4094E"/>
    <w:rsid w:val="00E40FC2"/>
    <w:rsid w:val="00E41013"/>
    <w:rsid w:val="00E41044"/>
    <w:rsid w:val="00E411CF"/>
    <w:rsid w:val="00E41A7E"/>
    <w:rsid w:val="00E422E7"/>
    <w:rsid w:val="00E427E9"/>
    <w:rsid w:val="00E429ED"/>
    <w:rsid w:val="00E42A67"/>
    <w:rsid w:val="00E42B30"/>
    <w:rsid w:val="00E42CB6"/>
    <w:rsid w:val="00E430AC"/>
    <w:rsid w:val="00E434DB"/>
    <w:rsid w:val="00E436A6"/>
    <w:rsid w:val="00E4398B"/>
    <w:rsid w:val="00E43F37"/>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B4E"/>
    <w:rsid w:val="00E47E30"/>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CBF"/>
    <w:rsid w:val="00E844C2"/>
    <w:rsid w:val="00E84609"/>
    <w:rsid w:val="00E8519F"/>
    <w:rsid w:val="00E8523B"/>
    <w:rsid w:val="00E852AF"/>
    <w:rsid w:val="00E852BB"/>
    <w:rsid w:val="00E85303"/>
    <w:rsid w:val="00E85495"/>
    <w:rsid w:val="00E85799"/>
    <w:rsid w:val="00E85C42"/>
    <w:rsid w:val="00E85CC3"/>
    <w:rsid w:val="00E8601F"/>
    <w:rsid w:val="00E862F5"/>
    <w:rsid w:val="00E8644A"/>
    <w:rsid w:val="00E86926"/>
    <w:rsid w:val="00E869B5"/>
    <w:rsid w:val="00E86E36"/>
    <w:rsid w:val="00E870AC"/>
    <w:rsid w:val="00E87869"/>
    <w:rsid w:val="00E9015C"/>
    <w:rsid w:val="00E90230"/>
    <w:rsid w:val="00E90279"/>
    <w:rsid w:val="00E903BB"/>
    <w:rsid w:val="00E903E2"/>
    <w:rsid w:val="00E90635"/>
    <w:rsid w:val="00E909A1"/>
    <w:rsid w:val="00E90AF4"/>
    <w:rsid w:val="00E90BFF"/>
    <w:rsid w:val="00E91146"/>
    <w:rsid w:val="00E912C3"/>
    <w:rsid w:val="00E91D9D"/>
    <w:rsid w:val="00E91E45"/>
    <w:rsid w:val="00E91F04"/>
    <w:rsid w:val="00E91F11"/>
    <w:rsid w:val="00E91F35"/>
    <w:rsid w:val="00E92333"/>
    <w:rsid w:val="00E925A5"/>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A6D"/>
    <w:rsid w:val="00EA2F8C"/>
    <w:rsid w:val="00EA3312"/>
    <w:rsid w:val="00EA3450"/>
    <w:rsid w:val="00EA36C0"/>
    <w:rsid w:val="00EA37C9"/>
    <w:rsid w:val="00EA3828"/>
    <w:rsid w:val="00EA3B5A"/>
    <w:rsid w:val="00EA3E6B"/>
    <w:rsid w:val="00EA3F04"/>
    <w:rsid w:val="00EA410E"/>
    <w:rsid w:val="00EA4401"/>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34"/>
    <w:rsid w:val="00EB0CA3"/>
    <w:rsid w:val="00EB104F"/>
    <w:rsid w:val="00EB135C"/>
    <w:rsid w:val="00EB1389"/>
    <w:rsid w:val="00EB163A"/>
    <w:rsid w:val="00EB1B27"/>
    <w:rsid w:val="00EB1CCE"/>
    <w:rsid w:val="00EB1DA8"/>
    <w:rsid w:val="00EB2340"/>
    <w:rsid w:val="00EB28D2"/>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3EE"/>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C0705"/>
    <w:rsid w:val="00EC0C64"/>
    <w:rsid w:val="00EC0CF8"/>
    <w:rsid w:val="00EC0E9F"/>
    <w:rsid w:val="00EC0FF4"/>
    <w:rsid w:val="00EC13EC"/>
    <w:rsid w:val="00EC153B"/>
    <w:rsid w:val="00EC1C27"/>
    <w:rsid w:val="00EC247D"/>
    <w:rsid w:val="00EC2ADB"/>
    <w:rsid w:val="00EC2E2D"/>
    <w:rsid w:val="00EC2EAA"/>
    <w:rsid w:val="00EC327A"/>
    <w:rsid w:val="00EC3957"/>
    <w:rsid w:val="00EC3E80"/>
    <w:rsid w:val="00EC40B7"/>
    <w:rsid w:val="00EC4169"/>
    <w:rsid w:val="00EC454B"/>
    <w:rsid w:val="00EC462B"/>
    <w:rsid w:val="00EC4723"/>
    <w:rsid w:val="00EC481D"/>
    <w:rsid w:val="00EC4BD9"/>
    <w:rsid w:val="00EC525B"/>
    <w:rsid w:val="00EC56E0"/>
    <w:rsid w:val="00EC5939"/>
    <w:rsid w:val="00EC5B5E"/>
    <w:rsid w:val="00EC6057"/>
    <w:rsid w:val="00EC610A"/>
    <w:rsid w:val="00EC660B"/>
    <w:rsid w:val="00EC67E7"/>
    <w:rsid w:val="00EC6847"/>
    <w:rsid w:val="00EC6AA9"/>
    <w:rsid w:val="00EC72DB"/>
    <w:rsid w:val="00EC7364"/>
    <w:rsid w:val="00EC7419"/>
    <w:rsid w:val="00EC7733"/>
    <w:rsid w:val="00EC796B"/>
    <w:rsid w:val="00EC7D34"/>
    <w:rsid w:val="00EC7DB6"/>
    <w:rsid w:val="00EC7DEE"/>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DD"/>
    <w:rsid w:val="00ED37E5"/>
    <w:rsid w:val="00ED3822"/>
    <w:rsid w:val="00ED3AE5"/>
    <w:rsid w:val="00ED3E68"/>
    <w:rsid w:val="00ED4092"/>
    <w:rsid w:val="00ED40FF"/>
    <w:rsid w:val="00ED4D5E"/>
    <w:rsid w:val="00ED4F07"/>
    <w:rsid w:val="00ED5308"/>
    <w:rsid w:val="00ED5509"/>
    <w:rsid w:val="00ED568B"/>
    <w:rsid w:val="00ED5BC6"/>
    <w:rsid w:val="00ED5FE4"/>
    <w:rsid w:val="00ED5FE6"/>
    <w:rsid w:val="00ED63B0"/>
    <w:rsid w:val="00ED65BD"/>
    <w:rsid w:val="00ED6706"/>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264"/>
    <w:rsid w:val="00EE534D"/>
    <w:rsid w:val="00EE5560"/>
    <w:rsid w:val="00EE5739"/>
    <w:rsid w:val="00EE58A3"/>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E47"/>
    <w:rsid w:val="00EF1F9C"/>
    <w:rsid w:val="00EF22F7"/>
    <w:rsid w:val="00EF233B"/>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D1"/>
    <w:rsid w:val="00EF63D8"/>
    <w:rsid w:val="00EF6513"/>
    <w:rsid w:val="00EF6683"/>
    <w:rsid w:val="00EF6880"/>
    <w:rsid w:val="00EF6B36"/>
    <w:rsid w:val="00EF6F64"/>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4D9"/>
    <w:rsid w:val="00F038C1"/>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02"/>
    <w:rsid w:val="00F1146E"/>
    <w:rsid w:val="00F11618"/>
    <w:rsid w:val="00F116A0"/>
    <w:rsid w:val="00F11C21"/>
    <w:rsid w:val="00F11E63"/>
    <w:rsid w:val="00F11F97"/>
    <w:rsid w:val="00F12035"/>
    <w:rsid w:val="00F120E0"/>
    <w:rsid w:val="00F12A63"/>
    <w:rsid w:val="00F12A76"/>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57C4"/>
    <w:rsid w:val="00F15847"/>
    <w:rsid w:val="00F160CA"/>
    <w:rsid w:val="00F161A5"/>
    <w:rsid w:val="00F16732"/>
    <w:rsid w:val="00F16BF2"/>
    <w:rsid w:val="00F172C2"/>
    <w:rsid w:val="00F173D2"/>
    <w:rsid w:val="00F1749E"/>
    <w:rsid w:val="00F174C4"/>
    <w:rsid w:val="00F17964"/>
    <w:rsid w:val="00F17DDF"/>
    <w:rsid w:val="00F17EAE"/>
    <w:rsid w:val="00F20042"/>
    <w:rsid w:val="00F204F4"/>
    <w:rsid w:val="00F20ACF"/>
    <w:rsid w:val="00F21131"/>
    <w:rsid w:val="00F2150D"/>
    <w:rsid w:val="00F215EC"/>
    <w:rsid w:val="00F21747"/>
    <w:rsid w:val="00F218D4"/>
    <w:rsid w:val="00F21909"/>
    <w:rsid w:val="00F21970"/>
    <w:rsid w:val="00F21CDF"/>
    <w:rsid w:val="00F21D9C"/>
    <w:rsid w:val="00F21DD8"/>
    <w:rsid w:val="00F220A8"/>
    <w:rsid w:val="00F22258"/>
    <w:rsid w:val="00F223DF"/>
    <w:rsid w:val="00F2250A"/>
    <w:rsid w:val="00F226EE"/>
    <w:rsid w:val="00F2273C"/>
    <w:rsid w:val="00F22E0E"/>
    <w:rsid w:val="00F2357D"/>
    <w:rsid w:val="00F23704"/>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D4F"/>
    <w:rsid w:val="00F3404F"/>
    <w:rsid w:val="00F34262"/>
    <w:rsid w:val="00F34447"/>
    <w:rsid w:val="00F348D6"/>
    <w:rsid w:val="00F3496D"/>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4CE"/>
    <w:rsid w:val="00F41968"/>
    <w:rsid w:val="00F41CEC"/>
    <w:rsid w:val="00F41E9D"/>
    <w:rsid w:val="00F41F05"/>
    <w:rsid w:val="00F429A5"/>
    <w:rsid w:val="00F42A4D"/>
    <w:rsid w:val="00F42EBF"/>
    <w:rsid w:val="00F4306A"/>
    <w:rsid w:val="00F43345"/>
    <w:rsid w:val="00F433BD"/>
    <w:rsid w:val="00F4343A"/>
    <w:rsid w:val="00F43D52"/>
    <w:rsid w:val="00F43F5F"/>
    <w:rsid w:val="00F44683"/>
    <w:rsid w:val="00F44E59"/>
    <w:rsid w:val="00F44EC5"/>
    <w:rsid w:val="00F452A2"/>
    <w:rsid w:val="00F452A4"/>
    <w:rsid w:val="00F4595D"/>
    <w:rsid w:val="00F45A01"/>
    <w:rsid w:val="00F45BCC"/>
    <w:rsid w:val="00F45DEB"/>
    <w:rsid w:val="00F468F8"/>
    <w:rsid w:val="00F46FC2"/>
    <w:rsid w:val="00F47018"/>
    <w:rsid w:val="00F470FF"/>
    <w:rsid w:val="00F47498"/>
    <w:rsid w:val="00F475AB"/>
    <w:rsid w:val="00F47E76"/>
    <w:rsid w:val="00F47EBC"/>
    <w:rsid w:val="00F50287"/>
    <w:rsid w:val="00F50391"/>
    <w:rsid w:val="00F504C6"/>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FF6"/>
    <w:rsid w:val="00F560E6"/>
    <w:rsid w:val="00F564D1"/>
    <w:rsid w:val="00F56DCF"/>
    <w:rsid w:val="00F57034"/>
    <w:rsid w:val="00F57146"/>
    <w:rsid w:val="00F572D3"/>
    <w:rsid w:val="00F5734B"/>
    <w:rsid w:val="00F57831"/>
    <w:rsid w:val="00F57CC6"/>
    <w:rsid w:val="00F603E6"/>
    <w:rsid w:val="00F60BE9"/>
    <w:rsid w:val="00F60D8B"/>
    <w:rsid w:val="00F61322"/>
    <w:rsid w:val="00F61806"/>
    <w:rsid w:val="00F61A03"/>
    <w:rsid w:val="00F61AFC"/>
    <w:rsid w:val="00F61F26"/>
    <w:rsid w:val="00F61FD8"/>
    <w:rsid w:val="00F626C7"/>
    <w:rsid w:val="00F62CB4"/>
    <w:rsid w:val="00F62DBF"/>
    <w:rsid w:val="00F633CA"/>
    <w:rsid w:val="00F63645"/>
    <w:rsid w:val="00F638A9"/>
    <w:rsid w:val="00F638B7"/>
    <w:rsid w:val="00F639AD"/>
    <w:rsid w:val="00F63D93"/>
    <w:rsid w:val="00F640DB"/>
    <w:rsid w:val="00F641FC"/>
    <w:rsid w:val="00F64584"/>
    <w:rsid w:val="00F646C1"/>
    <w:rsid w:val="00F647F7"/>
    <w:rsid w:val="00F64952"/>
    <w:rsid w:val="00F64A72"/>
    <w:rsid w:val="00F64C09"/>
    <w:rsid w:val="00F65179"/>
    <w:rsid w:val="00F654A0"/>
    <w:rsid w:val="00F654F6"/>
    <w:rsid w:val="00F6579E"/>
    <w:rsid w:val="00F6583C"/>
    <w:rsid w:val="00F6589A"/>
    <w:rsid w:val="00F65F10"/>
    <w:rsid w:val="00F6602B"/>
    <w:rsid w:val="00F66473"/>
    <w:rsid w:val="00F66676"/>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41"/>
    <w:rsid w:val="00F73C5F"/>
    <w:rsid w:val="00F73C96"/>
    <w:rsid w:val="00F73D08"/>
    <w:rsid w:val="00F7454A"/>
    <w:rsid w:val="00F74E43"/>
    <w:rsid w:val="00F74EE5"/>
    <w:rsid w:val="00F7586B"/>
    <w:rsid w:val="00F75C25"/>
    <w:rsid w:val="00F75F2F"/>
    <w:rsid w:val="00F760CA"/>
    <w:rsid w:val="00F7619E"/>
    <w:rsid w:val="00F76445"/>
    <w:rsid w:val="00F7699E"/>
    <w:rsid w:val="00F76A1B"/>
    <w:rsid w:val="00F76B26"/>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20C4"/>
    <w:rsid w:val="00F82462"/>
    <w:rsid w:val="00F825A2"/>
    <w:rsid w:val="00F82B3E"/>
    <w:rsid w:val="00F82CF6"/>
    <w:rsid w:val="00F82DCC"/>
    <w:rsid w:val="00F836A6"/>
    <w:rsid w:val="00F83829"/>
    <w:rsid w:val="00F83996"/>
    <w:rsid w:val="00F83D80"/>
    <w:rsid w:val="00F83E5A"/>
    <w:rsid w:val="00F84069"/>
    <w:rsid w:val="00F840C8"/>
    <w:rsid w:val="00F842C8"/>
    <w:rsid w:val="00F843D7"/>
    <w:rsid w:val="00F8449A"/>
    <w:rsid w:val="00F84B0C"/>
    <w:rsid w:val="00F84B6A"/>
    <w:rsid w:val="00F85536"/>
    <w:rsid w:val="00F85BB8"/>
    <w:rsid w:val="00F8600A"/>
    <w:rsid w:val="00F863A0"/>
    <w:rsid w:val="00F864A5"/>
    <w:rsid w:val="00F864EE"/>
    <w:rsid w:val="00F8657A"/>
    <w:rsid w:val="00F8679A"/>
    <w:rsid w:val="00F8691F"/>
    <w:rsid w:val="00F86A0B"/>
    <w:rsid w:val="00F86A6F"/>
    <w:rsid w:val="00F86BF3"/>
    <w:rsid w:val="00F86D07"/>
    <w:rsid w:val="00F87117"/>
    <w:rsid w:val="00F8736C"/>
    <w:rsid w:val="00F879EE"/>
    <w:rsid w:val="00F87EEE"/>
    <w:rsid w:val="00F9030E"/>
    <w:rsid w:val="00F90705"/>
    <w:rsid w:val="00F90897"/>
    <w:rsid w:val="00F90ADB"/>
    <w:rsid w:val="00F90E78"/>
    <w:rsid w:val="00F91209"/>
    <w:rsid w:val="00F914F8"/>
    <w:rsid w:val="00F91765"/>
    <w:rsid w:val="00F917A9"/>
    <w:rsid w:val="00F91B56"/>
    <w:rsid w:val="00F9221F"/>
    <w:rsid w:val="00F92C6B"/>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755"/>
    <w:rsid w:val="00FA5937"/>
    <w:rsid w:val="00FA5A4E"/>
    <w:rsid w:val="00FA61D4"/>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B1B"/>
    <w:rsid w:val="00FB4338"/>
    <w:rsid w:val="00FB442B"/>
    <w:rsid w:val="00FB44BB"/>
    <w:rsid w:val="00FB45F1"/>
    <w:rsid w:val="00FB477E"/>
    <w:rsid w:val="00FB4936"/>
    <w:rsid w:val="00FB4AE3"/>
    <w:rsid w:val="00FB4C9C"/>
    <w:rsid w:val="00FB4F37"/>
    <w:rsid w:val="00FB4FAF"/>
    <w:rsid w:val="00FB501A"/>
    <w:rsid w:val="00FB5620"/>
    <w:rsid w:val="00FB5E99"/>
    <w:rsid w:val="00FB5F5F"/>
    <w:rsid w:val="00FB6165"/>
    <w:rsid w:val="00FB620F"/>
    <w:rsid w:val="00FB6245"/>
    <w:rsid w:val="00FB6B1A"/>
    <w:rsid w:val="00FB6CDC"/>
    <w:rsid w:val="00FB6DA5"/>
    <w:rsid w:val="00FB7491"/>
    <w:rsid w:val="00FB7BC6"/>
    <w:rsid w:val="00FB7BEF"/>
    <w:rsid w:val="00FC0150"/>
    <w:rsid w:val="00FC01CC"/>
    <w:rsid w:val="00FC03AB"/>
    <w:rsid w:val="00FC0ABC"/>
    <w:rsid w:val="00FC0C5C"/>
    <w:rsid w:val="00FC10A9"/>
    <w:rsid w:val="00FC120A"/>
    <w:rsid w:val="00FC1212"/>
    <w:rsid w:val="00FC1589"/>
    <w:rsid w:val="00FC1B16"/>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712"/>
    <w:rsid w:val="00FD3753"/>
    <w:rsid w:val="00FD37F6"/>
    <w:rsid w:val="00FD39C6"/>
    <w:rsid w:val="00FD4589"/>
    <w:rsid w:val="00FD473E"/>
    <w:rsid w:val="00FD489A"/>
    <w:rsid w:val="00FD495C"/>
    <w:rsid w:val="00FD5695"/>
    <w:rsid w:val="00FD5A16"/>
    <w:rsid w:val="00FD6925"/>
    <w:rsid w:val="00FD71B8"/>
    <w:rsid w:val="00FD7485"/>
    <w:rsid w:val="00FD7930"/>
    <w:rsid w:val="00FD7ABD"/>
    <w:rsid w:val="00FD7BDF"/>
    <w:rsid w:val="00FD7DF9"/>
    <w:rsid w:val="00FE007E"/>
    <w:rsid w:val="00FE011A"/>
    <w:rsid w:val="00FE06DD"/>
    <w:rsid w:val="00FE0B51"/>
    <w:rsid w:val="00FE0B78"/>
    <w:rsid w:val="00FE0BC6"/>
    <w:rsid w:val="00FE0ED4"/>
    <w:rsid w:val="00FE0F3C"/>
    <w:rsid w:val="00FE1056"/>
    <w:rsid w:val="00FE11A6"/>
    <w:rsid w:val="00FE11C2"/>
    <w:rsid w:val="00FE14CE"/>
    <w:rsid w:val="00FE1B6C"/>
    <w:rsid w:val="00FE1C5C"/>
    <w:rsid w:val="00FE1CE0"/>
    <w:rsid w:val="00FE1EAB"/>
    <w:rsid w:val="00FE209C"/>
    <w:rsid w:val="00FE2360"/>
    <w:rsid w:val="00FE24AC"/>
    <w:rsid w:val="00FE2C87"/>
    <w:rsid w:val="00FE3465"/>
    <w:rsid w:val="00FE35FD"/>
    <w:rsid w:val="00FE397D"/>
    <w:rsid w:val="00FE3F7A"/>
    <w:rsid w:val="00FE421A"/>
    <w:rsid w:val="00FE440C"/>
    <w:rsid w:val="00FE4CF1"/>
    <w:rsid w:val="00FE4DA8"/>
    <w:rsid w:val="00FE54FC"/>
    <w:rsid w:val="00FE59D6"/>
    <w:rsid w:val="00FE60E3"/>
    <w:rsid w:val="00FE6449"/>
    <w:rsid w:val="00FE6693"/>
    <w:rsid w:val="00FE67CF"/>
    <w:rsid w:val="00FE6D20"/>
    <w:rsid w:val="00FE6FB9"/>
    <w:rsid w:val="00FE70DA"/>
    <w:rsid w:val="00FE7549"/>
    <w:rsid w:val="00FE7A74"/>
    <w:rsid w:val="00FE7BCC"/>
    <w:rsid w:val="00FE7D95"/>
    <w:rsid w:val="00FE7DBC"/>
    <w:rsid w:val="00FE7E34"/>
    <w:rsid w:val="00FE7FB8"/>
    <w:rsid w:val="00FF089B"/>
    <w:rsid w:val="00FF10BB"/>
    <w:rsid w:val="00FF126D"/>
    <w:rsid w:val="00FF14C9"/>
    <w:rsid w:val="00FF1F56"/>
    <w:rsid w:val="00FF20AA"/>
    <w:rsid w:val="00FF2310"/>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756"/>
    <w:rsid w:val="00FF5924"/>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 w:val="01131462"/>
    <w:rsid w:val="016163AC"/>
    <w:rsid w:val="016E5057"/>
    <w:rsid w:val="017A2085"/>
    <w:rsid w:val="01FD017B"/>
    <w:rsid w:val="029343E7"/>
    <w:rsid w:val="03AC1682"/>
    <w:rsid w:val="03D8457E"/>
    <w:rsid w:val="04276037"/>
    <w:rsid w:val="046A6864"/>
    <w:rsid w:val="04F6609F"/>
    <w:rsid w:val="04FD04BA"/>
    <w:rsid w:val="055C0D09"/>
    <w:rsid w:val="05A92580"/>
    <w:rsid w:val="05E80237"/>
    <w:rsid w:val="06845861"/>
    <w:rsid w:val="06B34C0D"/>
    <w:rsid w:val="06B55B75"/>
    <w:rsid w:val="07467FED"/>
    <w:rsid w:val="074A55DF"/>
    <w:rsid w:val="07917C16"/>
    <w:rsid w:val="07AB4C62"/>
    <w:rsid w:val="07CC10D0"/>
    <w:rsid w:val="07DA4188"/>
    <w:rsid w:val="082D1F94"/>
    <w:rsid w:val="08641862"/>
    <w:rsid w:val="088C7220"/>
    <w:rsid w:val="089C28BE"/>
    <w:rsid w:val="08A6356E"/>
    <w:rsid w:val="08B2391C"/>
    <w:rsid w:val="08B6216E"/>
    <w:rsid w:val="0958468A"/>
    <w:rsid w:val="09804626"/>
    <w:rsid w:val="099E2DC3"/>
    <w:rsid w:val="09B45FD8"/>
    <w:rsid w:val="09EA6380"/>
    <w:rsid w:val="0A1813C1"/>
    <w:rsid w:val="0A5C4CC0"/>
    <w:rsid w:val="0A8E2F39"/>
    <w:rsid w:val="0AF31213"/>
    <w:rsid w:val="0B2B5978"/>
    <w:rsid w:val="0B686CE3"/>
    <w:rsid w:val="0B775FA3"/>
    <w:rsid w:val="0B7F6F73"/>
    <w:rsid w:val="0B871AAC"/>
    <w:rsid w:val="0BE24CCF"/>
    <w:rsid w:val="0BE27A30"/>
    <w:rsid w:val="0BF102C5"/>
    <w:rsid w:val="0C4C7AE9"/>
    <w:rsid w:val="0CF908A2"/>
    <w:rsid w:val="0D5D7B90"/>
    <w:rsid w:val="0D720609"/>
    <w:rsid w:val="0DB13A6A"/>
    <w:rsid w:val="0DBA6BEF"/>
    <w:rsid w:val="0DCB7D5F"/>
    <w:rsid w:val="0E3A7270"/>
    <w:rsid w:val="0E86295A"/>
    <w:rsid w:val="0EE86EC3"/>
    <w:rsid w:val="0EF94549"/>
    <w:rsid w:val="0F86387E"/>
    <w:rsid w:val="0F8A5D3F"/>
    <w:rsid w:val="0FFC3689"/>
    <w:rsid w:val="104C3F5E"/>
    <w:rsid w:val="1068299A"/>
    <w:rsid w:val="108337B1"/>
    <w:rsid w:val="10FD0D37"/>
    <w:rsid w:val="115F2B42"/>
    <w:rsid w:val="12371AF1"/>
    <w:rsid w:val="124640D5"/>
    <w:rsid w:val="12534326"/>
    <w:rsid w:val="127B2717"/>
    <w:rsid w:val="1284301D"/>
    <w:rsid w:val="131D633A"/>
    <w:rsid w:val="132D462C"/>
    <w:rsid w:val="134C0073"/>
    <w:rsid w:val="135B4F0F"/>
    <w:rsid w:val="139D1400"/>
    <w:rsid w:val="13C86363"/>
    <w:rsid w:val="13D62CE4"/>
    <w:rsid w:val="143E2578"/>
    <w:rsid w:val="14747CC3"/>
    <w:rsid w:val="14A4145E"/>
    <w:rsid w:val="14BC6CEF"/>
    <w:rsid w:val="14D426EC"/>
    <w:rsid w:val="14FB201F"/>
    <w:rsid w:val="151C2D8F"/>
    <w:rsid w:val="15662565"/>
    <w:rsid w:val="15D66AF9"/>
    <w:rsid w:val="15D8116C"/>
    <w:rsid w:val="15EC7E45"/>
    <w:rsid w:val="16D47CB7"/>
    <w:rsid w:val="16E40448"/>
    <w:rsid w:val="171170C5"/>
    <w:rsid w:val="173837D2"/>
    <w:rsid w:val="17426AFF"/>
    <w:rsid w:val="175369BD"/>
    <w:rsid w:val="175B54F1"/>
    <w:rsid w:val="17637DD5"/>
    <w:rsid w:val="17C01771"/>
    <w:rsid w:val="18192DB3"/>
    <w:rsid w:val="189C7874"/>
    <w:rsid w:val="18BE0EEC"/>
    <w:rsid w:val="18CA7AD4"/>
    <w:rsid w:val="19573A60"/>
    <w:rsid w:val="195D0E3D"/>
    <w:rsid w:val="19B277CF"/>
    <w:rsid w:val="19D46A2B"/>
    <w:rsid w:val="1A1A0012"/>
    <w:rsid w:val="1AA76F07"/>
    <w:rsid w:val="1AB65869"/>
    <w:rsid w:val="1B232539"/>
    <w:rsid w:val="1B6F557F"/>
    <w:rsid w:val="1BDE6AAB"/>
    <w:rsid w:val="1C045220"/>
    <w:rsid w:val="1C0657C8"/>
    <w:rsid w:val="1C0D1D96"/>
    <w:rsid w:val="1C0E27CF"/>
    <w:rsid w:val="1C4C55D9"/>
    <w:rsid w:val="1C60699F"/>
    <w:rsid w:val="1C921695"/>
    <w:rsid w:val="1CAE7C71"/>
    <w:rsid w:val="1CE15059"/>
    <w:rsid w:val="1D0E5E08"/>
    <w:rsid w:val="1D183A7E"/>
    <w:rsid w:val="1D271DC8"/>
    <w:rsid w:val="1D35366D"/>
    <w:rsid w:val="1D455C08"/>
    <w:rsid w:val="1D5F01B9"/>
    <w:rsid w:val="1D7513E5"/>
    <w:rsid w:val="1D770768"/>
    <w:rsid w:val="1D962396"/>
    <w:rsid w:val="1DC3358E"/>
    <w:rsid w:val="1DD76211"/>
    <w:rsid w:val="1DF45D66"/>
    <w:rsid w:val="1DF62D63"/>
    <w:rsid w:val="1E267AED"/>
    <w:rsid w:val="1E4A0798"/>
    <w:rsid w:val="1E553DDF"/>
    <w:rsid w:val="1EE94345"/>
    <w:rsid w:val="1FAA3491"/>
    <w:rsid w:val="20292579"/>
    <w:rsid w:val="203C777A"/>
    <w:rsid w:val="20D45BB8"/>
    <w:rsid w:val="21714672"/>
    <w:rsid w:val="21C81883"/>
    <w:rsid w:val="220856B4"/>
    <w:rsid w:val="226472D5"/>
    <w:rsid w:val="22D15510"/>
    <w:rsid w:val="22FA4354"/>
    <w:rsid w:val="22FE1D58"/>
    <w:rsid w:val="235A25D8"/>
    <w:rsid w:val="23FF67B6"/>
    <w:rsid w:val="24165991"/>
    <w:rsid w:val="24386DC5"/>
    <w:rsid w:val="243F22D2"/>
    <w:rsid w:val="246146D9"/>
    <w:rsid w:val="248D5A4B"/>
    <w:rsid w:val="24F147D7"/>
    <w:rsid w:val="251A7816"/>
    <w:rsid w:val="254426BB"/>
    <w:rsid w:val="257D6B98"/>
    <w:rsid w:val="25CF269A"/>
    <w:rsid w:val="261845EE"/>
    <w:rsid w:val="273B56B3"/>
    <w:rsid w:val="27937321"/>
    <w:rsid w:val="28070A35"/>
    <w:rsid w:val="28325D3F"/>
    <w:rsid w:val="28601B6B"/>
    <w:rsid w:val="2870178D"/>
    <w:rsid w:val="287068DE"/>
    <w:rsid w:val="28B2018A"/>
    <w:rsid w:val="28CB46A8"/>
    <w:rsid w:val="28FF44D7"/>
    <w:rsid w:val="29FE100E"/>
    <w:rsid w:val="2A3613B9"/>
    <w:rsid w:val="2A73364A"/>
    <w:rsid w:val="2B10660C"/>
    <w:rsid w:val="2B9B2C4E"/>
    <w:rsid w:val="2BA25AB5"/>
    <w:rsid w:val="2BC86D8F"/>
    <w:rsid w:val="2BC87E3D"/>
    <w:rsid w:val="2CD84DE1"/>
    <w:rsid w:val="2D516580"/>
    <w:rsid w:val="2D9259B1"/>
    <w:rsid w:val="2E023AE3"/>
    <w:rsid w:val="2E2E1B71"/>
    <w:rsid w:val="2E635A4E"/>
    <w:rsid w:val="2EA66EB0"/>
    <w:rsid w:val="2F0125D1"/>
    <w:rsid w:val="2FE17698"/>
    <w:rsid w:val="30023844"/>
    <w:rsid w:val="30381B5B"/>
    <w:rsid w:val="304E7D27"/>
    <w:rsid w:val="30F530FB"/>
    <w:rsid w:val="31023E6E"/>
    <w:rsid w:val="3133671C"/>
    <w:rsid w:val="3170695E"/>
    <w:rsid w:val="31AB31E8"/>
    <w:rsid w:val="31F97405"/>
    <w:rsid w:val="32122467"/>
    <w:rsid w:val="32A20595"/>
    <w:rsid w:val="32C450F9"/>
    <w:rsid w:val="33322BCA"/>
    <w:rsid w:val="338A0895"/>
    <w:rsid w:val="339C5B65"/>
    <w:rsid w:val="33FD557B"/>
    <w:rsid w:val="34A13A88"/>
    <w:rsid w:val="34CB2521"/>
    <w:rsid w:val="35373579"/>
    <w:rsid w:val="35962FB8"/>
    <w:rsid w:val="35D9699B"/>
    <w:rsid w:val="36115AF2"/>
    <w:rsid w:val="36310315"/>
    <w:rsid w:val="36775CD5"/>
    <w:rsid w:val="36A02C1C"/>
    <w:rsid w:val="36B26D39"/>
    <w:rsid w:val="37AC1205"/>
    <w:rsid w:val="37C43739"/>
    <w:rsid w:val="37D94A12"/>
    <w:rsid w:val="3850626D"/>
    <w:rsid w:val="38670999"/>
    <w:rsid w:val="39504E43"/>
    <w:rsid w:val="396A73B1"/>
    <w:rsid w:val="39DB36E0"/>
    <w:rsid w:val="3A993C07"/>
    <w:rsid w:val="3B53552B"/>
    <w:rsid w:val="3C260F92"/>
    <w:rsid w:val="3C28009E"/>
    <w:rsid w:val="3C3D26F3"/>
    <w:rsid w:val="3C4D34C0"/>
    <w:rsid w:val="3CC90C15"/>
    <w:rsid w:val="3CEF3BB3"/>
    <w:rsid w:val="3D311F43"/>
    <w:rsid w:val="3D5D4866"/>
    <w:rsid w:val="3D781FAF"/>
    <w:rsid w:val="3DA85D5D"/>
    <w:rsid w:val="3DFA7C53"/>
    <w:rsid w:val="3E0D3395"/>
    <w:rsid w:val="3E231DBF"/>
    <w:rsid w:val="3E4B55A5"/>
    <w:rsid w:val="3E5048C0"/>
    <w:rsid w:val="3E816004"/>
    <w:rsid w:val="3EA22903"/>
    <w:rsid w:val="3ECB7763"/>
    <w:rsid w:val="3F420EDA"/>
    <w:rsid w:val="3FDB7779"/>
    <w:rsid w:val="3FDF4360"/>
    <w:rsid w:val="400B5351"/>
    <w:rsid w:val="401B2BFA"/>
    <w:rsid w:val="407A19F4"/>
    <w:rsid w:val="4082382B"/>
    <w:rsid w:val="408A4F2F"/>
    <w:rsid w:val="409D3404"/>
    <w:rsid w:val="40F704A9"/>
    <w:rsid w:val="411023AE"/>
    <w:rsid w:val="413A76DF"/>
    <w:rsid w:val="41585772"/>
    <w:rsid w:val="41595378"/>
    <w:rsid w:val="41867AA4"/>
    <w:rsid w:val="41D07CE9"/>
    <w:rsid w:val="41F2723E"/>
    <w:rsid w:val="420F4A90"/>
    <w:rsid w:val="42854A90"/>
    <w:rsid w:val="42885444"/>
    <w:rsid w:val="42E45926"/>
    <w:rsid w:val="430D59CE"/>
    <w:rsid w:val="43143564"/>
    <w:rsid w:val="431F01DD"/>
    <w:rsid w:val="43645F4C"/>
    <w:rsid w:val="438F135B"/>
    <w:rsid w:val="43B60734"/>
    <w:rsid w:val="43DD4A3E"/>
    <w:rsid w:val="4459698F"/>
    <w:rsid w:val="44E65731"/>
    <w:rsid w:val="44F951FA"/>
    <w:rsid w:val="45651C4E"/>
    <w:rsid w:val="45C73FC5"/>
    <w:rsid w:val="46472C04"/>
    <w:rsid w:val="468300C2"/>
    <w:rsid w:val="46A16C5F"/>
    <w:rsid w:val="46BB0940"/>
    <w:rsid w:val="47405BD6"/>
    <w:rsid w:val="474A4194"/>
    <w:rsid w:val="47630494"/>
    <w:rsid w:val="47D24376"/>
    <w:rsid w:val="482C291E"/>
    <w:rsid w:val="48405357"/>
    <w:rsid w:val="487E6E19"/>
    <w:rsid w:val="48B76134"/>
    <w:rsid w:val="48D00995"/>
    <w:rsid w:val="48DE5963"/>
    <w:rsid w:val="49245E59"/>
    <w:rsid w:val="493E066B"/>
    <w:rsid w:val="49682917"/>
    <w:rsid w:val="496B7D52"/>
    <w:rsid w:val="4A640F94"/>
    <w:rsid w:val="4A664AB1"/>
    <w:rsid w:val="4B1166E9"/>
    <w:rsid w:val="4BB61C21"/>
    <w:rsid w:val="4C7468C0"/>
    <w:rsid w:val="4CAB45ED"/>
    <w:rsid w:val="4CCA7A90"/>
    <w:rsid w:val="4D6A7A4A"/>
    <w:rsid w:val="4DF6626C"/>
    <w:rsid w:val="4E4D3FB3"/>
    <w:rsid w:val="4E4E4597"/>
    <w:rsid w:val="4E535BA8"/>
    <w:rsid w:val="4E837408"/>
    <w:rsid w:val="4EDA786D"/>
    <w:rsid w:val="503D3738"/>
    <w:rsid w:val="50DB3608"/>
    <w:rsid w:val="50F067E0"/>
    <w:rsid w:val="510D4842"/>
    <w:rsid w:val="51162023"/>
    <w:rsid w:val="511D0092"/>
    <w:rsid w:val="514D794E"/>
    <w:rsid w:val="51777807"/>
    <w:rsid w:val="518D138B"/>
    <w:rsid w:val="51AA2760"/>
    <w:rsid w:val="51B87003"/>
    <w:rsid w:val="51D26EEB"/>
    <w:rsid w:val="51D52B6B"/>
    <w:rsid w:val="52492816"/>
    <w:rsid w:val="52A806D0"/>
    <w:rsid w:val="52DE73ED"/>
    <w:rsid w:val="531219DE"/>
    <w:rsid w:val="532A68CA"/>
    <w:rsid w:val="53303C1F"/>
    <w:rsid w:val="53324B0D"/>
    <w:rsid w:val="538633CC"/>
    <w:rsid w:val="53F82387"/>
    <w:rsid w:val="540E15F3"/>
    <w:rsid w:val="541163C6"/>
    <w:rsid w:val="5445666B"/>
    <w:rsid w:val="5454427C"/>
    <w:rsid w:val="546561E7"/>
    <w:rsid w:val="549A6C6C"/>
    <w:rsid w:val="553427E5"/>
    <w:rsid w:val="55631ABB"/>
    <w:rsid w:val="556E2830"/>
    <w:rsid w:val="558D4B40"/>
    <w:rsid w:val="55B258CE"/>
    <w:rsid w:val="55DB220B"/>
    <w:rsid w:val="56B67A6A"/>
    <w:rsid w:val="56C241D6"/>
    <w:rsid w:val="56D16606"/>
    <w:rsid w:val="56DD3496"/>
    <w:rsid w:val="56F83BDC"/>
    <w:rsid w:val="5783751B"/>
    <w:rsid w:val="57AF5A8A"/>
    <w:rsid w:val="57C200BC"/>
    <w:rsid w:val="57E2151D"/>
    <w:rsid w:val="57E771F2"/>
    <w:rsid w:val="5828719C"/>
    <w:rsid w:val="58E93DA2"/>
    <w:rsid w:val="59205AEA"/>
    <w:rsid w:val="59403E9E"/>
    <w:rsid w:val="594D6D7C"/>
    <w:rsid w:val="598C447E"/>
    <w:rsid w:val="59E00B70"/>
    <w:rsid w:val="5A3C1382"/>
    <w:rsid w:val="5A9B0EEC"/>
    <w:rsid w:val="5AC82D8A"/>
    <w:rsid w:val="5AD41E5A"/>
    <w:rsid w:val="5B2944CF"/>
    <w:rsid w:val="5B4716C3"/>
    <w:rsid w:val="5B615CC7"/>
    <w:rsid w:val="5C2F03DD"/>
    <w:rsid w:val="5C844709"/>
    <w:rsid w:val="5C986CFA"/>
    <w:rsid w:val="5CA05FAE"/>
    <w:rsid w:val="5CD23991"/>
    <w:rsid w:val="5D046278"/>
    <w:rsid w:val="5D060761"/>
    <w:rsid w:val="5D2A2441"/>
    <w:rsid w:val="5D58097F"/>
    <w:rsid w:val="5D5A4F0E"/>
    <w:rsid w:val="5D9B687B"/>
    <w:rsid w:val="5D9D0571"/>
    <w:rsid w:val="5DB1786D"/>
    <w:rsid w:val="5E10384D"/>
    <w:rsid w:val="5E5951B2"/>
    <w:rsid w:val="5EFF4100"/>
    <w:rsid w:val="5F3A58AC"/>
    <w:rsid w:val="5F47790F"/>
    <w:rsid w:val="5FCC4CF4"/>
    <w:rsid w:val="5FDA39FF"/>
    <w:rsid w:val="60013428"/>
    <w:rsid w:val="6032652F"/>
    <w:rsid w:val="61042C57"/>
    <w:rsid w:val="61375C3A"/>
    <w:rsid w:val="614502DE"/>
    <w:rsid w:val="61B61F60"/>
    <w:rsid w:val="61E637BC"/>
    <w:rsid w:val="61EB1D7D"/>
    <w:rsid w:val="62033415"/>
    <w:rsid w:val="621F053D"/>
    <w:rsid w:val="6296631E"/>
    <w:rsid w:val="62E22AF1"/>
    <w:rsid w:val="62F35CC6"/>
    <w:rsid w:val="63285B29"/>
    <w:rsid w:val="63346C17"/>
    <w:rsid w:val="63404154"/>
    <w:rsid w:val="635C475F"/>
    <w:rsid w:val="64395883"/>
    <w:rsid w:val="645207DB"/>
    <w:rsid w:val="64683BD4"/>
    <w:rsid w:val="64A43F58"/>
    <w:rsid w:val="64A85A54"/>
    <w:rsid w:val="64A9411D"/>
    <w:rsid w:val="64B44569"/>
    <w:rsid w:val="65205E00"/>
    <w:rsid w:val="65252711"/>
    <w:rsid w:val="656E5A74"/>
    <w:rsid w:val="659E19AE"/>
    <w:rsid w:val="65EB521E"/>
    <w:rsid w:val="66006E7C"/>
    <w:rsid w:val="661E52A1"/>
    <w:rsid w:val="662F5472"/>
    <w:rsid w:val="66380DD3"/>
    <w:rsid w:val="66413EB3"/>
    <w:rsid w:val="66A704FA"/>
    <w:rsid w:val="66A87077"/>
    <w:rsid w:val="66BA22D0"/>
    <w:rsid w:val="670706FD"/>
    <w:rsid w:val="67271E79"/>
    <w:rsid w:val="67587D47"/>
    <w:rsid w:val="67625EF4"/>
    <w:rsid w:val="676F393C"/>
    <w:rsid w:val="67767A37"/>
    <w:rsid w:val="678232DB"/>
    <w:rsid w:val="67967CFE"/>
    <w:rsid w:val="67970A87"/>
    <w:rsid w:val="682D7E15"/>
    <w:rsid w:val="686D2CD8"/>
    <w:rsid w:val="68C405A0"/>
    <w:rsid w:val="68C4281F"/>
    <w:rsid w:val="68E73680"/>
    <w:rsid w:val="68F605E1"/>
    <w:rsid w:val="690E297F"/>
    <w:rsid w:val="691064D4"/>
    <w:rsid w:val="6A203759"/>
    <w:rsid w:val="6AB261C7"/>
    <w:rsid w:val="6C3A1349"/>
    <w:rsid w:val="6C6D4493"/>
    <w:rsid w:val="6C8A5D5E"/>
    <w:rsid w:val="6CA95355"/>
    <w:rsid w:val="6CB22EFB"/>
    <w:rsid w:val="6D2C6821"/>
    <w:rsid w:val="6D3100A9"/>
    <w:rsid w:val="6D314DE8"/>
    <w:rsid w:val="6D380F33"/>
    <w:rsid w:val="6D3E4B4A"/>
    <w:rsid w:val="6D677AF6"/>
    <w:rsid w:val="6DEE3D18"/>
    <w:rsid w:val="6DF4510C"/>
    <w:rsid w:val="6E215BF5"/>
    <w:rsid w:val="6E5818FF"/>
    <w:rsid w:val="6E856A9B"/>
    <w:rsid w:val="6ED61DDF"/>
    <w:rsid w:val="6ED94B87"/>
    <w:rsid w:val="6F2A527F"/>
    <w:rsid w:val="6F774173"/>
    <w:rsid w:val="6F985667"/>
    <w:rsid w:val="6FBA0F30"/>
    <w:rsid w:val="6FD81158"/>
    <w:rsid w:val="6FEA4B12"/>
    <w:rsid w:val="6FFD3FBC"/>
    <w:rsid w:val="700F1E37"/>
    <w:rsid w:val="70402C85"/>
    <w:rsid w:val="7058444E"/>
    <w:rsid w:val="70610886"/>
    <w:rsid w:val="708368F5"/>
    <w:rsid w:val="70C07BE3"/>
    <w:rsid w:val="70CE12B3"/>
    <w:rsid w:val="70EC5CCD"/>
    <w:rsid w:val="713A7D91"/>
    <w:rsid w:val="713D3651"/>
    <w:rsid w:val="717A35E1"/>
    <w:rsid w:val="71815393"/>
    <w:rsid w:val="718D5002"/>
    <w:rsid w:val="72853E15"/>
    <w:rsid w:val="72FC70A2"/>
    <w:rsid w:val="73906E9C"/>
    <w:rsid w:val="73E5078B"/>
    <w:rsid w:val="73FB10D5"/>
    <w:rsid w:val="74673474"/>
    <w:rsid w:val="74705D41"/>
    <w:rsid w:val="748E1075"/>
    <w:rsid w:val="74C70680"/>
    <w:rsid w:val="75461F61"/>
    <w:rsid w:val="754E4072"/>
    <w:rsid w:val="767D3E0C"/>
    <w:rsid w:val="76826439"/>
    <w:rsid w:val="76CE1347"/>
    <w:rsid w:val="76FC5252"/>
    <w:rsid w:val="773D5513"/>
    <w:rsid w:val="776E5505"/>
    <w:rsid w:val="779273DA"/>
    <w:rsid w:val="77BF446B"/>
    <w:rsid w:val="77E87B9B"/>
    <w:rsid w:val="787003DB"/>
    <w:rsid w:val="78E63AF8"/>
    <w:rsid w:val="790F6627"/>
    <w:rsid w:val="79297BCF"/>
    <w:rsid w:val="79A2784E"/>
    <w:rsid w:val="79F153A6"/>
    <w:rsid w:val="7A2041E2"/>
    <w:rsid w:val="7A401753"/>
    <w:rsid w:val="7A533F56"/>
    <w:rsid w:val="7A59436A"/>
    <w:rsid w:val="7B233958"/>
    <w:rsid w:val="7B543AFC"/>
    <w:rsid w:val="7BF540A3"/>
    <w:rsid w:val="7C0C7310"/>
    <w:rsid w:val="7C505DCD"/>
    <w:rsid w:val="7C5F5AB2"/>
    <w:rsid w:val="7C6C1A3B"/>
    <w:rsid w:val="7C996C8A"/>
    <w:rsid w:val="7CAD088C"/>
    <w:rsid w:val="7CE028C2"/>
    <w:rsid w:val="7CE263DC"/>
    <w:rsid w:val="7D48796E"/>
    <w:rsid w:val="7E24173D"/>
    <w:rsid w:val="7E3F72D4"/>
    <w:rsid w:val="7E452115"/>
    <w:rsid w:val="7E5C5B79"/>
    <w:rsid w:val="7E86765D"/>
    <w:rsid w:val="7EC30681"/>
    <w:rsid w:val="7EC64F7F"/>
    <w:rsid w:val="7ED763E0"/>
    <w:rsid w:val="7EF63449"/>
    <w:rsid w:val="7F541E3E"/>
    <w:rsid w:val="7F77637D"/>
    <w:rsid w:val="7FA3310D"/>
    <w:rsid w:val="7FA76F73"/>
    <w:rsid w:val="7FDD6046"/>
    <w:rsid w:val="7FD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link w:val="42"/>
    <w:qFormat/>
    <w:uiPriority w:val="0"/>
    <w:pPr>
      <w:numPr>
        <w:ilvl w:val="1"/>
      </w:numPr>
      <w:tabs>
        <w:tab w:val="left" w:pos="576"/>
      </w:tabs>
      <w:ind w:left="576"/>
      <w:outlineLvl w:val="1"/>
    </w:pPr>
    <w:rPr>
      <w:sz w:val="24"/>
    </w:rPr>
  </w:style>
  <w:style w:type="paragraph" w:styleId="4">
    <w:name w:val="heading 3"/>
    <w:basedOn w:val="3"/>
    <w:next w:val="1"/>
    <w:qFormat/>
    <w:uiPriority w:val="0"/>
    <w:pPr>
      <w:numPr>
        <w:ilvl w:val="2"/>
      </w:numPr>
      <w:tabs>
        <w:tab w:val="clear" w:pos="576"/>
      </w:tabs>
      <w:outlineLvl w:val="2"/>
    </w:p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4">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53"/>
    <w:semiHidden/>
    <w:unhideWhenUsed/>
    <w:qFormat/>
    <w:uiPriority w:val="0"/>
    <w:rPr>
      <w:b/>
      <w:bCs/>
    </w:rPr>
  </w:style>
  <w:style w:type="paragraph" w:styleId="12">
    <w:name w:val="annotation text"/>
    <w:basedOn w:val="1"/>
    <w:link w:val="52"/>
    <w:unhideWhenUsed/>
    <w:qFormat/>
    <w:uiPriority w:val="0"/>
    <w:pPr>
      <w:jc w:val="left"/>
    </w:pPr>
  </w:style>
  <w:style w:type="paragraph" w:styleId="13">
    <w:name w:val="caption"/>
    <w:basedOn w:val="1"/>
    <w:next w:val="1"/>
    <w:link w:val="32"/>
    <w:qFormat/>
    <w:uiPriority w:val="0"/>
    <w:pPr>
      <w:jc w:val="center"/>
    </w:pPr>
    <w:rPr>
      <w:b/>
      <w:bCs/>
      <w:sz w:val="20"/>
      <w:szCs w:val="20"/>
    </w:rPr>
  </w:style>
  <w:style w:type="paragraph" w:styleId="14">
    <w:name w:val="List Bullet"/>
    <w:basedOn w:val="15"/>
    <w:qFormat/>
    <w:uiPriority w:val="0"/>
    <w:pPr>
      <w:autoSpaceDE/>
      <w:autoSpaceDN/>
      <w:adjustRightInd/>
      <w:spacing w:after="180"/>
      <w:ind w:left="568" w:hanging="284"/>
      <w:jc w:val="left"/>
    </w:pPr>
    <w:rPr>
      <w:sz w:val="20"/>
      <w:szCs w:val="20"/>
      <w:lang w:val="en-GB"/>
    </w:rPr>
  </w:style>
  <w:style w:type="paragraph" w:styleId="15">
    <w:name w:val="List"/>
    <w:basedOn w:val="1"/>
    <w:qFormat/>
    <w:uiPriority w:val="0"/>
    <w:pPr>
      <w:ind w:left="360" w:hanging="360"/>
    </w:pPr>
  </w:style>
  <w:style w:type="paragraph" w:styleId="16">
    <w:name w:val="Body Text"/>
    <w:basedOn w:val="1"/>
    <w:link w:val="31"/>
    <w:qFormat/>
    <w:uiPriority w:val="0"/>
    <w:rPr>
      <w:sz w:val="20"/>
      <w:szCs w:val="20"/>
    </w:rPr>
  </w:style>
  <w:style w:type="paragraph" w:styleId="17">
    <w:name w:val="List 2"/>
    <w:basedOn w:val="1"/>
    <w:semiHidden/>
    <w:unhideWhenUsed/>
    <w:qFormat/>
    <w:uiPriority w:val="0"/>
    <w:pPr>
      <w:ind w:left="100" w:leftChars="200" w:hanging="200" w:hangingChars="200"/>
      <w:contextualSpacing/>
    </w:pPr>
  </w:style>
  <w:style w:type="paragraph" w:styleId="18">
    <w:name w:val="Balloon Text"/>
    <w:basedOn w:val="1"/>
    <w:semiHidden/>
    <w:qFormat/>
    <w:uiPriority w:val="0"/>
    <w:rPr>
      <w:rFonts w:ascii="Tahoma" w:hAnsi="Tahoma" w:cs="Tahoma"/>
      <w:sz w:val="16"/>
      <w:szCs w:val="16"/>
    </w:rPr>
  </w:style>
  <w:style w:type="paragraph" w:styleId="19">
    <w:name w:val="footer"/>
    <w:basedOn w:val="1"/>
    <w:link w:val="39"/>
    <w:qFormat/>
    <w:uiPriority w:val="0"/>
    <w:pPr>
      <w:tabs>
        <w:tab w:val="center" w:pos="4680"/>
        <w:tab w:val="right" w:pos="9360"/>
      </w:tabs>
    </w:pPr>
  </w:style>
  <w:style w:type="paragraph" w:styleId="20">
    <w:name w:val="header"/>
    <w:basedOn w:val="1"/>
    <w:link w:val="38"/>
    <w:qFormat/>
    <w:uiPriority w:val="0"/>
    <w:pPr>
      <w:tabs>
        <w:tab w:val="center" w:pos="4680"/>
        <w:tab w:val="right" w:pos="9360"/>
      </w:tabs>
    </w:pPr>
  </w:style>
  <w:style w:type="paragraph" w:styleId="21">
    <w:name w:val="footnote text"/>
    <w:basedOn w:val="1"/>
    <w:semiHidden/>
    <w:qFormat/>
    <w:uiPriority w:val="0"/>
    <w:rPr>
      <w:sz w:val="20"/>
      <w:szCs w:val="20"/>
    </w:rPr>
  </w:style>
  <w:style w:type="paragraph" w:styleId="22">
    <w:name w:val="Body Text 2"/>
    <w:basedOn w:val="1"/>
    <w:qFormat/>
    <w:uiPriority w:val="0"/>
    <w:pPr>
      <w:spacing w:after="0"/>
      <w:jc w:val="left"/>
    </w:pPr>
    <w:rPr>
      <w:szCs w:val="20"/>
    </w:rPr>
  </w:style>
  <w:style w:type="paragraph" w:styleId="23">
    <w:name w:val="Normal (Web)"/>
    <w:basedOn w:val="1"/>
    <w:unhideWhenUsed/>
    <w:qFormat/>
    <w:uiPriority w:val="99"/>
    <w:pPr>
      <w:autoSpaceDE/>
      <w:autoSpaceDN/>
      <w:adjustRightInd/>
      <w:snapToGrid/>
      <w:spacing w:before="100" w:beforeAutospacing="1" w:after="100" w:afterAutospacing="1"/>
      <w:jc w:val="left"/>
    </w:pPr>
    <w:rPr>
      <w:rFonts w:ascii="宋体" w:hAnsi="宋体" w:cs="宋体" w:eastAsiaTheme="minorEastAsia"/>
      <w:sz w:val="24"/>
      <w:szCs w:val="24"/>
      <w:lang w:eastAsia="zh-CN"/>
    </w:rPr>
  </w:style>
  <w:style w:type="character" w:styleId="25">
    <w:name w:val="FollowedHyperlink"/>
    <w:basedOn w:val="24"/>
    <w:qFormat/>
    <w:uiPriority w:val="0"/>
    <w:rPr>
      <w:color w:val="800080"/>
      <w:u w:val="single"/>
    </w:rPr>
  </w:style>
  <w:style w:type="character" w:styleId="26">
    <w:name w:val="Hyperlink"/>
    <w:basedOn w:val="24"/>
    <w:qFormat/>
    <w:uiPriority w:val="0"/>
    <w:rPr>
      <w:color w:val="0000FF"/>
      <w:u w:val="single"/>
    </w:rPr>
  </w:style>
  <w:style w:type="character" w:styleId="27">
    <w:name w:val="annotation reference"/>
    <w:basedOn w:val="24"/>
    <w:semiHidden/>
    <w:unhideWhenUsed/>
    <w:qFormat/>
    <w:uiPriority w:val="0"/>
    <w:rPr>
      <w:sz w:val="21"/>
      <w:szCs w:val="21"/>
    </w:rPr>
  </w:style>
  <w:style w:type="character" w:styleId="28">
    <w:name w:val="footnote reference"/>
    <w:basedOn w:val="24"/>
    <w:semiHidden/>
    <w:qFormat/>
    <w:uiPriority w:val="0"/>
    <w:rPr>
      <w:vertAlign w:val="superscript"/>
    </w:rPr>
  </w:style>
  <w:style w:type="table" w:styleId="30">
    <w:name w:val="Table Grid"/>
    <w:basedOn w:val="2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
    <w:name w:val="正文文本 字符"/>
    <w:basedOn w:val="24"/>
    <w:link w:val="16"/>
    <w:qFormat/>
    <w:uiPriority w:val="0"/>
  </w:style>
  <w:style w:type="character" w:customStyle="1" w:styleId="32">
    <w:name w:val="题注 字符"/>
    <w:basedOn w:val="24"/>
    <w:link w:val="13"/>
    <w:qFormat/>
    <w:uiPriority w:val="0"/>
    <w:rPr>
      <w:b/>
      <w:bCs/>
    </w:rPr>
  </w:style>
  <w:style w:type="paragraph" w:customStyle="1" w:styleId="33">
    <w:name w:val="References"/>
    <w:basedOn w:val="1"/>
    <w:qFormat/>
    <w:uiPriority w:val="0"/>
    <w:pPr>
      <w:numPr>
        <w:ilvl w:val="0"/>
        <w:numId w:val="2"/>
      </w:numPr>
      <w:adjustRightInd/>
      <w:spacing w:after="60"/>
    </w:pPr>
    <w:rPr>
      <w:sz w:val="20"/>
      <w:szCs w:val="16"/>
    </w:rPr>
  </w:style>
  <w:style w:type="paragraph" w:customStyle="1" w:styleId="34">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5">
    <w:name w:val="Figure"/>
    <w:basedOn w:val="1"/>
    <w:qFormat/>
    <w:uiPriority w:val="0"/>
    <w:pPr>
      <w:keepNext/>
      <w:jc w:val="center"/>
    </w:pPr>
  </w:style>
  <w:style w:type="paragraph" w:customStyle="1" w:styleId="36">
    <w:name w:val="Eqn"/>
    <w:basedOn w:val="1"/>
    <w:qFormat/>
    <w:uiPriority w:val="0"/>
    <w:pPr>
      <w:tabs>
        <w:tab w:val="center" w:pos="4608"/>
        <w:tab w:val="right" w:pos="9216"/>
      </w:tabs>
    </w:pPr>
    <w:rPr>
      <w:lang w:eastAsia="ja-JP"/>
    </w:rPr>
  </w:style>
  <w:style w:type="paragraph" w:customStyle="1" w:styleId="37">
    <w:name w:val="tablecell"/>
    <w:basedOn w:val="1"/>
    <w:qFormat/>
    <w:uiPriority w:val="0"/>
    <w:pPr>
      <w:spacing w:before="20" w:after="20"/>
      <w:jc w:val="left"/>
    </w:pPr>
  </w:style>
  <w:style w:type="character" w:customStyle="1" w:styleId="38">
    <w:name w:val="页眉 字符"/>
    <w:basedOn w:val="24"/>
    <w:link w:val="20"/>
    <w:qFormat/>
    <w:uiPriority w:val="0"/>
    <w:rPr>
      <w:sz w:val="22"/>
      <w:szCs w:val="22"/>
    </w:rPr>
  </w:style>
  <w:style w:type="character" w:customStyle="1" w:styleId="39">
    <w:name w:val="页脚 字符"/>
    <w:basedOn w:val="24"/>
    <w:link w:val="19"/>
    <w:qFormat/>
    <w:uiPriority w:val="0"/>
    <w:rPr>
      <w:sz w:val="22"/>
      <w:szCs w:val="22"/>
    </w:rPr>
  </w:style>
  <w:style w:type="paragraph" w:customStyle="1" w:styleId="40">
    <w:name w:val="tablecol"/>
    <w:basedOn w:val="37"/>
    <w:qFormat/>
    <w:uiPriority w:val="0"/>
    <w:pPr>
      <w:jc w:val="center"/>
    </w:pPr>
    <w:rPr>
      <w:b/>
    </w:rPr>
  </w:style>
  <w:style w:type="paragraph" w:styleId="41">
    <w:name w:val="List Paragraph"/>
    <w:basedOn w:val="1"/>
    <w:link w:val="55"/>
    <w:qFormat/>
    <w:uiPriority w:val="34"/>
    <w:pPr>
      <w:ind w:firstLine="420" w:firstLineChars="200"/>
    </w:pPr>
  </w:style>
  <w:style w:type="character" w:customStyle="1" w:styleId="42">
    <w:name w:val="标题 2 字符"/>
    <w:basedOn w:val="24"/>
    <w:link w:val="3"/>
    <w:qFormat/>
    <w:uiPriority w:val="0"/>
    <w:rPr>
      <w:b/>
      <w:bCs/>
      <w:sz w:val="24"/>
      <w:szCs w:val="22"/>
    </w:rPr>
  </w:style>
  <w:style w:type="paragraph" w:customStyle="1" w:styleId="43">
    <w:name w:val="TAH"/>
    <w:basedOn w:val="44"/>
    <w:link w:val="46"/>
    <w:qFormat/>
    <w:uiPriority w:val="0"/>
    <w:rPr>
      <w:b/>
    </w:rPr>
  </w:style>
  <w:style w:type="paragraph" w:customStyle="1" w:styleId="44">
    <w:name w:val="TAC"/>
    <w:basedOn w:val="1"/>
    <w:link w:val="45"/>
    <w:qFormat/>
    <w:uiPriority w:val="0"/>
    <w:pPr>
      <w:keepNext/>
      <w:keepLines/>
      <w:autoSpaceDE/>
      <w:autoSpaceDN/>
      <w:adjustRightInd/>
      <w:snapToGrid/>
      <w:spacing w:after="0"/>
      <w:jc w:val="center"/>
    </w:pPr>
    <w:rPr>
      <w:rFonts w:ascii="Arial" w:hAnsi="Arial"/>
      <w:sz w:val="18"/>
      <w:szCs w:val="20"/>
      <w:lang w:val="en-GB"/>
    </w:rPr>
  </w:style>
  <w:style w:type="character" w:customStyle="1" w:styleId="45">
    <w:name w:val="TAC Char"/>
    <w:link w:val="44"/>
    <w:qFormat/>
    <w:uiPriority w:val="0"/>
    <w:rPr>
      <w:rFonts w:ascii="Arial" w:hAnsi="Arial"/>
      <w:sz w:val="18"/>
      <w:lang w:val="en-GB"/>
    </w:rPr>
  </w:style>
  <w:style w:type="character" w:customStyle="1" w:styleId="46">
    <w:name w:val="TAH Car"/>
    <w:link w:val="43"/>
    <w:qFormat/>
    <w:uiPriority w:val="0"/>
    <w:rPr>
      <w:rFonts w:ascii="Arial" w:hAnsi="Arial"/>
      <w:b/>
      <w:sz w:val="18"/>
      <w:lang w:val="en-GB"/>
    </w:rPr>
  </w:style>
  <w:style w:type="paragraph" w:customStyle="1" w:styleId="47">
    <w:name w:val="TH"/>
    <w:basedOn w:val="1"/>
    <w:link w:val="48"/>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48">
    <w:name w:val="TH Char"/>
    <w:link w:val="47"/>
    <w:qFormat/>
    <w:uiPriority w:val="0"/>
    <w:rPr>
      <w:rFonts w:ascii="Arial" w:hAnsi="Arial"/>
      <w:b/>
      <w:lang w:val="en-GB"/>
    </w:rPr>
  </w:style>
  <w:style w:type="paragraph" w:customStyle="1" w:styleId="49">
    <w:name w:val="TAN"/>
    <w:basedOn w:val="1"/>
    <w:link w:val="50"/>
    <w:qFormat/>
    <w:uiPriority w:val="0"/>
    <w:pPr>
      <w:keepNext/>
      <w:keepLines/>
      <w:autoSpaceDE/>
      <w:autoSpaceDN/>
      <w:adjustRightInd/>
      <w:snapToGrid/>
      <w:spacing w:after="0"/>
      <w:ind w:left="851" w:hanging="851"/>
      <w:jc w:val="left"/>
    </w:pPr>
    <w:rPr>
      <w:rFonts w:ascii="Arial" w:hAnsi="Arial"/>
      <w:sz w:val="18"/>
      <w:szCs w:val="20"/>
      <w:lang w:val="en-GB"/>
    </w:rPr>
  </w:style>
  <w:style w:type="character" w:customStyle="1" w:styleId="50">
    <w:name w:val="TAN Char"/>
    <w:link w:val="49"/>
    <w:qFormat/>
    <w:uiPriority w:val="0"/>
    <w:rPr>
      <w:rFonts w:ascii="Arial" w:hAnsi="Arial"/>
      <w:sz w:val="18"/>
      <w:lang w:val="en-GB"/>
    </w:rPr>
  </w:style>
  <w:style w:type="character" w:styleId="51">
    <w:name w:val="Placeholder Text"/>
    <w:basedOn w:val="24"/>
    <w:semiHidden/>
    <w:qFormat/>
    <w:uiPriority w:val="99"/>
    <w:rPr>
      <w:color w:val="808080"/>
    </w:rPr>
  </w:style>
  <w:style w:type="character" w:customStyle="1" w:styleId="52">
    <w:name w:val="批注文字 字符"/>
    <w:basedOn w:val="24"/>
    <w:link w:val="12"/>
    <w:qFormat/>
    <w:uiPriority w:val="0"/>
    <w:rPr>
      <w:sz w:val="22"/>
      <w:szCs w:val="22"/>
    </w:rPr>
  </w:style>
  <w:style w:type="character" w:customStyle="1" w:styleId="53">
    <w:name w:val="批注主题 字符"/>
    <w:basedOn w:val="52"/>
    <w:link w:val="11"/>
    <w:semiHidden/>
    <w:qFormat/>
    <w:uiPriority w:val="0"/>
    <w:rPr>
      <w:b/>
      <w:bCs/>
      <w:sz w:val="22"/>
      <w:szCs w:val="22"/>
    </w:rPr>
  </w:style>
  <w:style w:type="paragraph" w:customStyle="1" w:styleId="54">
    <w:name w:val="修订1"/>
    <w:hidden/>
    <w:semiHidden/>
    <w:qFormat/>
    <w:uiPriority w:val="99"/>
    <w:rPr>
      <w:rFonts w:ascii="Times New Roman" w:hAnsi="Times New Roman" w:eastAsia="宋体" w:cs="Times New Roman"/>
      <w:sz w:val="22"/>
      <w:szCs w:val="22"/>
      <w:lang w:val="en-US" w:eastAsia="en-US" w:bidi="ar-SA"/>
    </w:rPr>
  </w:style>
  <w:style w:type="character" w:customStyle="1" w:styleId="55">
    <w:name w:val="列表段落 字符"/>
    <w:link w:val="41"/>
    <w:qFormat/>
    <w:uiPriority w:val="34"/>
    <w:rPr>
      <w:sz w:val="22"/>
      <w:szCs w:val="22"/>
    </w:rPr>
  </w:style>
  <w:style w:type="paragraph" w:customStyle="1" w:styleId="56">
    <w:name w:val="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57">
    <w:name w:val="B1"/>
    <w:basedOn w:val="15"/>
    <w:link w:val="58"/>
    <w:qFormat/>
    <w:uiPriority w:val="0"/>
    <w:pPr>
      <w:autoSpaceDE/>
      <w:autoSpaceDN/>
      <w:adjustRightInd/>
      <w:snapToGrid/>
      <w:spacing w:after="180"/>
      <w:ind w:left="568" w:hanging="284"/>
      <w:jc w:val="left"/>
    </w:pPr>
    <w:rPr>
      <w:sz w:val="20"/>
      <w:szCs w:val="20"/>
      <w:lang w:val="en-GB"/>
    </w:rPr>
  </w:style>
  <w:style w:type="character" w:customStyle="1" w:styleId="58">
    <w:name w:val="B1 Char"/>
    <w:link w:val="57"/>
    <w:qFormat/>
    <w:uiPriority w:val="0"/>
    <w:rPr>
      <w:lang w:val="en-GB"/>
    </w:rPr>
  </w:style>
  <w:style w:type="character" w:customStyle="1" w:styleId="59">
    <w:name w:val="normaltextrun1"/>
    <w:basedOn w:val="24"/>
    <w:qFormat/>
    <w:uiPriority w:val="0"/>
  </w:style>
  <w:style w:type="paragraph" w:customStyle="1" w:styleId="60">
    <w:name w:val="TAR"/>
    <w:basedOn w:val="1"/>
    <w:qFormat/>
    <w:uiPriority w:val="0"/>
    <w:pPr>
      <w:keepNext/>
      <w:keepLines/>
      <w:autoSpaceDE/>
      <w:autoSpaceDN/>
      <w:adjustRightInd/>
      <w:snapToGrid/>
      <w:spacing w:after="0"/>
      <w:jc w:val="right"/>
    </w:pPr>
    <w:rPr>
      <w:rFonts w:ascii="Arial" w:hAnsi="Arial" w:eastAsia="Times New Roman"/>
      <w:sz w:val="18"/>
      <w:szCs w:val="20"/>
      <w:lang w:val="en-GB"/>
    </w:rPr>
  </w:style>
  <w:style w:type="paragraph" w:customStyle="1" w:styleId="61">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2">
    <w:name w:val="B2"/>
    <w:basedOn w:val="17"/>
    <w:link w:val="64"/>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63">
    <w:name w:val="B1 (文字)"/>
    <w:qFormat/>
    <w:uiPriority w:val="0"/>
    <w:rPr>
      <w:rFonts w:eastAsia="MS Mincho"/>
      <w:lang w:val="en-GB" w:eastAsia="en-US" w:bidi="ar-SA"/>
    </w:rPr>
  </w:style>
  <w:style w:type="character" w:customStyle="1" w:styleId="64">
    <w:name w:val="B2 Char"/>
    <w:link w:val="62"/>
    <w:qFormat/>
    <w:uiPriority w:val="0"/>
    <w:rPr>
      <w:rFonts w:eastAsia="MS Mincho"/>
      <w:lang w:val="en-GB"/>
    </w:rPr>
  </w:style>
  <w:style w:type="paragraph" w:customStyle="1" w:styleId="65">
    <w:name w:val="MTDisplayEquation"/>
    <w:basedOn w:val="1"/>
    <w:next w:val="1"/>
    <w:link w:val="66"/>
    <w:qFormat/>
    <w:uiPriority w:val="0"/>
    <w:pPr>
      <w:tabs>
        <w:tab w:val="center" w:pos="4660"/>
        <w:tab w:val="right" w:pos="9320"/>
      </w:tabs>
    </w:pPr>
    <w:rPr>
      <w:szCs w:val="20"/>
      <w:lang w:eastAsia="zh-CN"/>
    </w:rPr>
  </w:style>
  <w:style w:type="character" w:customStyle="1" w:styleId="66">
    <w:name w:val="MTDisplayEquation Char"/>
    <w:basedOn w:val="24"/>
    <w:link w:val="65"/>
    <w:qFormat/>
    <w:uiPriority w:val="0"/>
    <w:rPr>
      <w:sz w:val="22"/>
      <w:lang w:eastAsia="zh-CN"/>
    </w:rPr>
  </w:style>
  <w:style w:type="paragraph" w:customStyle="1" w:styleId="67">
    <w:name w:val="TF"/>
    <w:basedOn w:val="47"/>
    <w:link w:val="68"/>
    <w:qFormat/>
    <w:uiPriority w:val="0"/>
    <w:pPr>
      <w:keepNext w:val="0"/>
      <w:spacing w:before="0" w:after="240"/>
    </w:pPr>
  </w:style>
  <w:style w:type="character" w:customStyle="1" w:styleId="68">
    <w:name w:val="TF Char"/>
    <w:link w:val="67"/>
    <w:qFormat/>
    <w:uiPriority w:val="0"/>
    <w:rPr>
      <w:rFonts w:ascii="Arial" w:hAnsi="Arial"/>
      <w:b/>
      <w:lang w:val="en-GB"/>
    </w:rPr>
  </w:style>
  <w:style w:type="paragraph" w:customStyle="1" w:styleId="69">
    <w:name w:val="Doc-text2"/>
    <w:basedOn w:val="1"/>
    <w:link w:val="70"/>
    <w:qFormat/>
    <w:uiPriority w:val="0"/>
    <w:pPr>
      <w:tabs>
        <w:tab w:val="left" w:pos="1622"/>
      </w:tabs>
      <w:autoSpaceDE/>
      <w:autoSpaceDN/>
      <w:adjustRightInd/>
      <w:snapToGrid/>
      <w:spacing w:after="200" w:line="276" w:lineRule="auto"/>
      <w:ind w:left="1622" w:hanging="363"/>
      <w:jc w:val="left"/>
    </w:pPr>
    <w:rPr>
      <w:rFonts w:ascii="Arial" w:hAnsi="Arial" w:eastAsia="MS Mincho" w:cstheme="minorBidi"/>
      <w:lang w:val="zh-CN" w:eastAsia="zh-CN"/>
    </w:rPr>
  </w:style>
  <w:style w:type="character" w:customStyle="1" w:styleId="70">
    <w:name w:val="Doc-text2 Char"/>
    <w:link w:val="69"/>
    <w:qFormat/>
    <w:uiPriority w:val="0"/>
    <w:rPr>
      <w:rFonts w:ascii="Arial" w:hAnsi="Arial" w:eastAsia="MS Mincho" w:cstheme="minorBidi"/>
      <w:sz w:val="22"/>
      <w:szCs w:val="22"/>
      <w:lang w:val="zh-CN" w:eastAsia="zh-CN"/>
    </w:rPr>
  </w:style>
  <w:style w:type="paragraph" w:customStyle="1" w:styleId="71">
    <w:name w:val="3GPP H2"/>
    <w:basedOn w:val="3"/>
    <w:next w:val="72"/>
    <w:qFormat/>
    <w:uiPriority w:val="0"/>
    <w:pPr>
      <w:keepLines/>
      <w:tabs>
        <w:tab w:val="left" w:pos="567"/>
        <w:tab w:val="clear" w:pos="576"/>
      </w:tabs>
      <w:overflowPunct w:val="0"/>
      <w:snapToGrid/>
      <w:ind w:left="567" w:hanging="567"/>
      <w:jc w:val="left"/>
      <w:textAlignment w:val="baseline"/>
    </w:pPr>
    <w:rPr>
      <w:bCs w:val="0"/>
      <w:szCs w:val="20"/>
      <w:lang w:val="en-GB"/>
    </w:rPr>
  </w:style>
  <w:style w:type="paragraph" w:customStyle="1" w:styleId="72">
    <w:name w:val="3GPP Text"/>
    <w:basedOn w:val="1"/>
    <w:qFormat/>
    <w:uiPriority w:val="0"/>
    <w:pPr>
      <w:overflowPunct w:val="0"/>
      <w:snapToGrid/>
      <w:spacing w:before="120"/>
      <w:textAlignment w:val="baseline"/>
    </w:pPr>
    <w:rPr>
      <w:szCs w:val="20"/>
    </w:rPr>
  </w:style>
  <w:style w:type="paragraph" w:customStyle="1" w:styleId="73">
    <w:name w:val="Draft Proposal"/>
    <w:basedOn w:val="16"/>
    <w:next w:val="1"/>
    <w:qFormat/>
    <w:uiPriority w:val="99"/>
    <w:pPr>
      <w:numPr>
        <w:ilvl w:val="0"/>
        <w:numId w:val="3"/>
      </w:numPr>
      <w:tabs>
        <w:tab w:val="left" w:pos="1701"/>
      </w:tabs>
      <w:spacing w:after="160" w:line="259" w:lineRule="auto"/>
    </w:pPr>
    <w:rPr>
      <w:rFonts w:ascii="Arial" w:hAnsi="Arial" w:eastAsiaTheme="minorHAnsi" w:cstheme="minorBidi"/>
      <w:b/>
      <w:bCs/>
      <w:sz w:val="22"/>
      <w:szCs w:val="22"/>
    </w:rPr>
  </w:style>
  <w:style w:type="character" w:customStyle="1" w:styleId="74">
    <w:name w:val="apple-converted-space"/>
    <w:basedOn w:val="24"/>
    <w:qFormat/>
    <w:uiPriority w:val="0"/>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4C423-F65D-497F-900B-10667B0AE8E1}">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1957</Words>
  <Characters>11155</Characters>
  <Lines>92</Lines>
  <Paragraphs>26</Paragraphs>
  <TotalTime>1</TotalTime>
  <ScaleCrop>false</ScaleCrop>
  <LinksUpToDate>false</LinksUpToDate>
  <CharactersWithSpaces>13086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2021-05-11T07:14:00Z</dcterms:created>
  <dc:creator>qiaoyunfei</dc:creator>
  <cp:lastModifiedBy>云翔</cp:lastModifiedBy>
  <cp:lastPrinted>2018-12-18T01:25:00Z</cp:lastPrinted>
  <dcterms:modified xsi:type="dcterms:W3CDTF">2021-11-06T04:21:51Z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(3)1Qhnu0OsNZfsAcm1+yIPX/7+vUhtM6Wlsqv86jyv/jd8eo7jenJa3vCb/kgplYa0Y8V4rM65
Gb5K/BgkLpJOdQ4t/tQrcBUQvlu+sBZHhA9B8TUxcGPlSv6GXtoOHSuxRxl4KcA3FaBl8kTO
Q/XVN0mEpgKtewlgii8f1TzhmHUlHedc6MAxDCCiFTKnKngoVlogi2M9FuhegLaFDLjqoO+R
4LW/vZC5iqiyjVzaxs</vt:lpwstr>
  </property>
  <property fmtid="{D5CDD505-2E9C-101B-9397-08002B2CF9AE}" pid="13" name="_2015_ms_pID_725343_00">
    <vt:lpwstr>_2015_ms_pID_725343</vt:lpwstr>
  </property>
  <property fmtid="{D5CDD505-2E9C-101B-9397-08002B2CF9AE}" pid="14" name="_2015_ms_pID_7253431">
    <vt:lpwstr>4A+HTNBG7BhTOjtS8ypVELH6j9fQtg92rhq0u5E+73H+Ou2vsXiX2O
Yw4XefVPE6TC0CKFhzvV7Nf0dZr7jws6WArcRx6J/SGh1shGmcebbjuf15J/7JgFmq/amMry
mxXclml2z8JXZIcpoppo4VDQQekp+Irn2Ni2dVSNtw3BRNMW9g/7ZGRKUL+c5ndAEv7I2GVR
hJBNC0XNPBHe3/FAzXUHR/RVrGHiVgAI7Tfr</vt:lpwstr>
  </property>
  <property fmtid="{D5CDD505-2E9C-101B-9397-08002B2CF9AE}" pid="15" name="_2015_ms_pID_7253431_00">
    <vt:lpwstr>_2015_ms_pID_7253431</vt:lpwstr>
  </property>
  <property fmtid="{D5CDD505-2E9C-101B-9397-08002B2CF9AE}" pid="16" name="_2015_ms_pID_7253432">
    <vt:lpwstr>BGDVbnEooi33ZIXX8FiCoTgvPr/dZTo2aU+5
bKSLGroRWPtha/s3r1w+LTAFMU1zmd4MVQE6WVt+kgyARi3B/AY=</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1620263490</vt:lpwstr>
  </property>
  <property fmtid="{D5CDD505-2E9C-101B-9397-08002B2CF9AE}" pid="23" name="KSOProductBuildVer">
    <vt:lpwstr>2052-10.1.0.7346</vt:lpwstr>
  </property>
  <property fmtid="{D5CDD505-2E9C-101B-9397-08002B2CF9AE}" pid="24" name="ICV">
    <vt:lpwstr>FDA87FCD0E614EC4AE58D8E0EB4C8C7F</vt:lpwstr>
  </property>
</Properties>
</file>